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D4563" w14:textId="77777777" w:rsidR="00A53FB6" w:rsidRPr="00C06299" w:rsidRDefault="00A53FB6" w:rsidP="00A53FB6"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Start w:id="14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C06299">
        <w:t>Příloha č. 1 Smlouvy</w:t>
      </w:r>
    </w:p>
    <w:p w14:paraId="1B1F3DC1" w14:textId="595BB63D" w:rsidR="00A53FB6" w:rsidRDefault="00A53FB6" w:rsidP="00A53FB6">
      <w:pPr>
        <w:autoSpaceDE w:val="0"/>
        <w:autoSpaceDN w:val="0"/>
        <w:spacing w:before="120" w:after="0" w:line="240" w:lineRule="auto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</w:pPr>
      <w:r w:rsidRPr="00C06299">
        <w:rPr>
          <w:b/>
          <w:color w:val="FF5200" w:themeColor="accent2"/>
          <w:sz w:val="36"/>
          <w:szCs w:val="36"/>
        </w:rPr>
        <w:t>Specifikace plnění</w:t>
      </w:r>
    </w:p>
    <w:p w14:paraId="69CFD560" w14:textId="74F2A134" w:rsidR="005C1E57" w:rsidRPr="005C1E57" w:rsidRDefault="002F4075" w:rsidP="005C1E57">
      <w:pPr>
        <w:autoSpaceDE w:val="0"/>
        <w:autoSpaceDN w:val="0"/>
        <w:spacing w:before="120" w:after="0" w:line="240" w:lineRule="auto"/>
        <w:jc w:val="both"/>
        <w:rPr>
          <w:rFonts w:eastAsia="Times New Roman" w:cs="Verdana"/>
          <w:sz w:val="20"/>
          <w:szCs w:val="20"/>
          <w:lang w:eastAsia="cs-CZ"/>
        </w:rPr>
      </w:pP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Manažerský reporting bytového fondu SŽ</w:t>
      </w:r>
    </w:p>
    <w:p w14:paraId="6539B5FD" w14:textId="77777777" w:rsidR="005C1E57" w:rsidRDefault="005C1E57" w:rsidP="005C1E57"/>
    <w:p w14:paraId="49DF33C2" w14:textId="52684DF2" w:rsidR="002F4075" w:rsidRPr="00AD4A2A" w:rsidRDefault="002F4075" w:rsidP="00CC21AD">
      <w:pPr>
        <w:pStyle w:val="Odstavecseseznamem"/>
        <w:numPr>
          <w:ilvl w:val="0"/>
          <w:numId w:val="18"/>
        </w:numPr>
        <w:jc w:val="both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r w:rsidRPr="00AD4A2A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Cíle veřejné zakázky</w:t>
      </w:r>
    </w:p>
    <w:p w14:paraId="7CAB8C1E" w14:textId="4A860BCC" w:rsidR="002F4075" w:rsidRDefault="002F4075" w:rsidP="002F4075">
      <w:pPr>
        <w:jc w:val="both"/>
        <w:rPr>
          <w:sz w:val="20"/>
          <w:szCs w:val="20"/>
        </w:rPr>
      </w:pPr>
      <w:r w:rsidRPr="002F4075">
        <w:rPr>
          <w:sz w:val="20"/>
          <w:szCs w:val="20"/>
        </w:rPr>
        <w:t>Náplní VZ je rozvoj  reportingu v oblasti REM se zaměřením na bytový fond v majetku Správy železnic. Požadované reporty navazují na první fázi manažerského reportingu pro oblast budov. Cílem je zjednodušit přístup k datům o jednotlivých bytech v rámci SŽ</w:t>
      </w:r>
      <w:r w:rsidR="00BF3655">
        <w:rPr>
          <w:sz w:val="20"/>
          <w:szCs w:val="20"/>
        </w:rPr>
        <w:t xml:space="preserve">, zajistit jednodušší komparaci dat mezi jednotlivými OŘ, </w:t>
      </w:r>
      <w:r w:rsidR="00885E1F">
        <w:rPr>
          <w:sz w:val="20"/>
          <w:szCs w:val="20"/>
        </w:rPr>
        <w:t xml:space="preserve"> a na základě reportovaných dat</w:t>
      </w:r>
      <w:r w:rsidRPr="002F4075">
        <w:rPr>
          <w:sz w:val="20"/>
          <w:szCs w:val="20"/>
        </w:rPr>
        <w:t xml:space="preserve"> lépe řídit jejich ekonomiku (správné nastavení nájemného atd.)</w:t>
      </w:r>
    </w:p>
    <w:p w14:paraId="1DC94E83" w14:textId="61377627" w:rsidR="002F4075" w:rsidRPr="00AD4A2A" w:rsidRDefault="002F4075" w:rsidP="00CC21AD">
      <w:pPr>
        <w:pStyle w:val="Odstavecseseznamem"/>
        <w:numPr>
          <w:ilvl w:val="0"/>
          <w:numId w:val="18"/>
        </w:numPr>
        <w:jc w:val="both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r w:rsidRPr="00AD4A2A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Specifikace plnění</w:t>
      </w:r>
    </w:p>
    <w:p w14:paraId="2F0423A7" w14:textId="138701E1" w:rsidR="00547E89" w:rsidRDefault="002F4075" w:rsidP="002F4075">
      <w:pPr>
        <w:jc w:val="both"/>
        <w:rPr>
          <w:sz w:val="20"/>
          <w:szCs w:val="20"/>
        </w:rPr>
      </w:pPr>
      <w:r w:rsidRPr="002F4075">
        <w:rPr>
          <w:sz w:val="20"/>
          <w:szCs w:val="20"/>
        </w:rPr>
        <w:t>Dokument je vytvořen jako podkla</w:t>
      </w:r>
      <w:r w:rsidR="0012204C">
        <w:rPr>
          <w:sz w:val="20"/>
          <w:szCs w:val="20"/>
        </w:rPr>
        <w:t>d pro návrh Manažerského reportingu</w:t>
      </w:r>
      <w:r w:rsidRPr="002F4075">
        <w:rPr>
          <w:sz w:val="20"/>
          <w:szCs w:val="20"/>
        </w:rPr>
        <w:t xml:space="preserve"> bytového fondu SŽ. Dokument shrnuje aktuální soupis požadavků </w:t>
      </w:r>
      <w:r w:rsidR="0036259F">
        <w:rPr>
          <w:sz w:val="20"/>
          <w:szCs w:val="20"/>
        </w:rPr>
        <w:t>na implementaci požadovaných reportů</w:t>
      </w:r>
      <w:r w:rsidRPr="002F4075">
        <w:rPr>
          <w:sz w:val="20"/>
          <w:szCs w:val="20"/>
        </w:rPr>
        <w:t>.</w:t>
      </w:r>
    </w:p>
    <w:p w14:paraId="709AFFE1" w14:textId="1F3A2603" w:rsidR="00547E89" w:rsidRDefault="00547E89" w:rsidP="00547E89">
      <w:pPr>
        <w:pStyle w:val="Odstavecseseznamem"/>
        <w:numPr>
          <w:ilvl w:val="1"/>
          <w:numId w:val="18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Analýza, revize a návrh finální verze grafického vzhledu</w:t>
      </w:r>
    </w:p>
    <w:p w14:paraId="14D11443" w14:textId="77777777" w:rsidR="00B3376E" w:rsidRPr="00334D68" w:rsidRDefault="00B3376E" w:rsidP="00B3376E">
      <w:pPr>
        <w:pStyle w:val="Odstavecseseznamem"/>
        <w:ind w:left="1080"/>
        <w:jc w:val="both"/>
        <w:rPr>
          <w:b/>
          <w:sz w:val="20"/>
          <w:szCs w:val="20"/>
        </w:rPr>
      </w:pPr>
    </w:p>
    <w:p w14:paraId="0622C5FA" w14:textId="276A7A55" w:rsidR="00547E89" w:rsidRDefault="00547E89" w:rsidP="00B3376E">
      <w:pPr>
        <w:jc w:val="both"/>
        <w:rPr>
          <w:sz w:val="20"/>
          <w:szCs w:val="20"/>
        </w:rPr>
      </w:pPr>
      <w:r w:rsidRPr="00547E89">
        <w:rPr>
          <w:sz w:val="20"/>
          <w:szCs w:val="20"/>
        </w:rPr>
        <w:t>Analýza, revize a návrh finální verze grafického vzhledu</w:t>
      </w:r>
      <w:r w:rsidR="006958C8">
        <w:rPr>
          <w:sz w:val="20"/>
          <w:szCs w:val="20"/>
        </w:rPr>
        <w:t xml:space="preserve"> a datového obsahu</w:t>
      </w:r>
      <w:r w:rsidRPr="00547E89">
        <w:rPr>
          <w:sz w:val="20"/>
          <w:szCs w:val="20"/>
        </w:rPr>
        <w:t xml:space="preserve"> obou poptávaných </w:t>
      </w:r>
      <w:r w:rsidR="00FE6FD2">
        <w:rPr>
          <w:sz w:val="20"/>
          <w:szCs w:val="20"/>
        </w:rPr>
        <w:t>reportů a jejich komponent a to</w:t>
      </w:r>
      <w:r w:rsidR="00A36DBE">
        <w:rPr>
          <w:sz w:val="20"/>
          <w:szCs w:val="20"/>
        </w:rPr>
        <w:t>,</w:t>
      </w:r>
      <w:r w:rsidR="00FE6FD2">
        <w:rPr>
          <w:sz w:val="20"/>
          <w:szCs w:val="20"/>
        </w:rPr>
        <w:t xml:space="preserve"> </w:t>
      </w:r>
      <w:r w:rsidR="00A36DBE">
        <w:rPr>
          <w:sz w:val="20"/>
          <w:szCs w:val="20"/>
        </w:rPr>
        <w:t xml:space="preserve">jak </w:t>
      </w:r>
      <w:r w:rsidRPr="00547E89">
        <w:rPr>
          <w:sz w:val="20"/>
          <w:szCs w:val="20"/>
        </w:rPr>
        <w:t>z hlediska uživatelské přívětivosti, tak z pohledu výko</w:t>
      </w:r>
      <w:r w:rsidR="00A36DBE">
        <w:rPr>
          <w:sz w:val="20"/>
          <w:szCs w:val="20"/>
        </w:rPr>
        <w:t>nnosti a časové odezvy</w:t>
      </w:r>
      <w:r w:rsidR="0012204C">
        <w:rPr>
          <w:sz w:val="20"/>
          <w:szCs w:val="20"/>
        </w:rPr>
        <w:t xml:space="preserve"> reportů</w:t>
      </w:r>
      <w:r w:rsidRPr="00547E89">
        <w:rPr>
          <w:sz w:val="20"/>
          <w:szCs w:val="20"/>
        </w:rPr>
        <w:t>. Výsledkem této fáze může být např. návrh na rozpad řešení na více reportů (se stejným datovým obsahem), jiné použité grafické prvky atd.</w:t>
      </w:r>
      <w:r>
        <w:rPr>
          <w:sz w:val="20"/>
          <w:szCs w:val="20"/>
        </w:rPr>
        <w:t xml:space="preserve"> V rámci </w:t>
      </w:r>
      <w:r w:rsidR="0012204C">
        <w:rPr>
          <w:sz w:val="20"/>
          <w:szCs w:val="20"/>
        </w:rPr>
        <w:t xml:space="preserve">této </w:t>
      </w:r>
      <w:r>
        <w:rPr>
          <w:sz w:val="20"/>
          <w:szCs w:val="20"/>
        </w:rPr>
        <w:t>analýzy považuje zadavatel za vhodné srovnání již implementovaných reportů dodavatelem na jiných projektech se SŽ používanými rep</w:t>
      </w:r>
      <w:r w:rsidR="00A36DBE">
        <w:rPr>
          <w:sz w:val="20"/>
          <w:szCs w:val="20"/>
        </w:rPr>
        <w:t>orty 1A, 1B pro reporting budov a následné vyhodnocení.</w:t>
      </w:r>
    </w:p>
    <w:p w14:paraId="1912F629" w14:textId="77777777" w:rsidR="00547E89" w:rsidRPr="00547E89" w:rsidRDefault="00547E89" w:rsidP="00547E89">
      <w:pPr>
        <w:pStyle w:val="Odstavecseseznamem"/>
        <w:ind w:left="1080"/>
        <w:jc w:val="both"/>
        <w:rPr>
          <w:b/>
          <w:sz w:val="20"/>
          <w:szCs w:val="20"/>
        </w:rPr>
      </w:pPr>
    </w:p>
    <w:p w14:paraId="088E4537" w14:textId="7C1EC214" w:rsidR="00547E89" w:rsidRPr="00334D68" w:rsidRDefault="00547E89" w:rsidP="00547E89">
      <w:pPr>
        <w:pStyle w:val="Odstavecseseznamem"/>
        <w:numPr>
          <w:ilvl w:val="1"/>
          <w:numId w:val="18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Manažerské reporty – 2A, 2B</w:t>
      </w:r>
    </w:p>
    <w:p w14:paraId="7A82FD62" w14:textId="5D775EA6" w:rsidR="002F4075" w:rsidRPr="002F4075" w:rsidRDefault="002F4075" w:rsidP="00885E1F">
      <w:pPr>
        <w:rPr>
          <w:sz w:val="20"/>
          <w:szCs w:val="20"/>
        </w:rPr>
      </w:pPr>
      <w:r w:rsidRPr="002F4075">
        <w:rPr>
          <w:sz w:val="20"/>
          <w:szCs w:val="20"/>
        </w:rPr>
        <w:t>Report</w:t>
      </w:r>
      <w:r w:rsidR="00547E89">
        <w:rPr>
          <w:sz w:val="20"/>
          <w:szCs w:val="20"/>
        </w:rPr>
        <w:t xml:space="preserve">ing bude poskytovat </w:t>
      </w:r>
      <w:r w:rsidRPr="002F4075">
        <w:rPr>
          <w:sz w:val="20"/>
          <w:szCs w:val="20"/>
        </w:rPr>
        <w:t xml:space="preserve">základní informace o bytech ve správě SŽ v „reálném čase“ a je rozdělen na </w:t>
      </w:r>
      <w:r w:rsidR="0012204C">
        <w:rPr>
          <w:sz w:val="20"/>
          <w:szCs w:val="20"/>
        </w:rPr>
        <w:t>dva základní</w:t>
      </w:r>
      <w:r w:rsidRPr="002F4075">
        <w:rPr>
          <w:sz w:val="20"/>
          <w:szCs w:val="20"/>
        </w:rPr>
        <w:t xml:space="preserve"> pohledy: </w:t>
      </w:r>
    </w:p>
    <w:p w14:paraId="0E3F9C67" w14:textId="77777777" w:rsidR="002F4075" w:rsidRPr="002F4075" w:rsidRDefault="002F4075" w:rsidP="002F4075">
      <w:pPr>
        <w:jc w:val="both"/>
        <w:rPr>
          <w:b/>
          <w:sz w:val="20"/>
          <w:szCs w:val="20"/>
        </w:rPr>
      </w:pPr>
      <w:r w:rsidRPr="002F4075">
        <w:rPr>
          <w:b/>
          <w:sz w:val="20"/>
          <w:szCs w:val="20"/>
        </w:rPr>
        <w:t xml:space="preserve">Report 2A: Manažerský report bytového fondu SŽ: Pohled na vybranou oblast </w:t>
      </w:r>
    </w:p>
    <w:p w14:paraId="395FE260" w14:textId="77777777" w:rsidR="002F4075" w:rsidRPr="002F4075" w:rsidRDefault="002F4075" w:rsidP="002F4075">
      <w:pPr>
        <w:jc w:val="both"/>
        <w:rPr>
          <w:b/>
          <w:sz w:val="20"/>
          <w:szCs w:val="20"/>
        </w:rPr>
      </w:pPr>
      <w:r w:rsidRPr="002F4075">
        <w:rPr>
          <w:b/>
          <w:sz w:val="20"/>
          <w:szCs w:val="20"/>
        </w:rPr>
        <w:t>Report 2B: Manažerský report bytového fondu SŽ: Pohled na konkrétní byt</w:t>
      </w:r>
    </w:p>
    <w:p w14:paraId="2E7C573D" w14:textId="50CD65B9" w:rsidR="002F4075" w:rsidRDefault="0045602E" w:rsidP="002F4075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Zadání je zpracováno</w:t>
      </w:r>
      <w:r w:rsidR="00547E89">
        <w:rPr>
          <w:b/>
          <w:sz w:val="20"/>
          <w:szCs w:val="20"/>
        </w:rPr>
        <w:t xml:space="preserve"> ve formě grafického</w:t>
      </w:r>
      <w:r w:rsidR="002F4075" w:rsidRPr="00B40BC7">
        <w:rPr>
          <w:b/>
          <w:sz w:val="20"/>
          <w:szCs w:val="20"/>
        </w:rPr>
        <w:t xml:space="preserve"> návrh</w:t>
      </w:r>
      <w:r w:rsidR="00547E89">
        <w:rPr>
          <w:b/>
          <w:sz w:val="20"/>
          <w:szCs w:val="20"/>
        </w:rPr>
        <w:t>u a</w:t>
      </w:r>
      <w:r w:rsidR="002F4075" w:rsidRPr="00B40BC7">
        <w:rPr>
          <w:b/>
          <w:sz w:val="20"/>
          <w:szCs w:val="20"/>
        </w:rPr>
        <w:t xml:space="preserve"> je k dispozici níže v tomto dokumentu. Jedná se o úvodní návrh, který může být v rámci realizace upravován na základě návrhu doda</w:t>
      </w:r>
      <w:r>
        <w:rPr>
          <w:b/>
          <w:sz w:val="20"/>
          <w:szCs w:val="20"/>
        </w:rPr>
        <w:t>vatele nebo dle požadavků Správy</w:t>
      </w:r>
      <w:r w:rsidR="002F4075" w:rsidRPr="00B40BC7">
        <w:rPr>
          <w:b/>
          <w:sz w:val="20"/>
          <w:szCs w:val="20"/>
        </w:rPr>
        <w:t xml:space="preserve"> železnic. </w:t>
      </w:r>
    </w:p>
    <w:p w14:paraId="780BFBCF" w14:textId="5E893A66" w:rsidR="00B40BC7" w:rsidRDefault="00B40BC7" w:rsidP="00B40BC7">
      <w:pPr>
        <w:jc w:val="both"/>
        <w:rPr>
          <w:b/>
          <w:sz w:val="20"/>
          <w:szCs w:val="20"/>
        </w:rPr>
      </w:pPr>
      <w:r w:rsidRPr="006958C8">
        <w:rPr>
          <w:b/>
          <w:sz w:val="20"/>
          <w:szCs w:val="20"/>
        </w:rPr>
        <w:t>Obsah navržených pohledů včetně jednotlivých položek</w:t>
      </w:r>
      <w:r w:rsidR="006958C8">
        <w:rPr>
          <w:b/>
          <w:sz w:val="20"/>
          <w:szCs w:val="20"/>
        </w:rPr>
        <w:t xml:space="preserve"> vychází z interní analýzy v r</w:t>
      </w:r>
      <w:r w:rsidR="008558D4">
        <w:rPr>
          <w:b/>
          <w:sz w:val="20"/>
          <w:szCs w:val="20"/>
        </w:rPr>
        <w:t xml:space="preserve">ámci SŽ zpracované ve spolupráci se společností </w:t>
      </w:r>
      <w:proofErr w:type="spellStart"/>
      <w:r w:rsidR="008558D4">
        <w:rPr>
          <w:b/>
          <w:sz w:val="20"/>
          <w:szCs w:val="20"/>
        </w:rPr>
        <w:t>Deloitte</w:t>
      </w:r>
      <w:proofErr w:type="spellEnd"/>
      <w:r w:rsidR="008558D4">
        <w:rPr>
          <w:b/>
          <w:sz w:val="20"/>
          <w:szCs w:val="20"/>
        </w:rPr>
        <w:t xml:space="preserve">. </w:t>
      </w:r>
      <w:r w:rsidR="006958C8">
        <w:rPr>
          <w:b/>
          <w:sz w:val="20"/>
          <w:szCs w:val="20"/>
        </w:rPr>
        <w:t>M</w:t>
      </w:r>
      <w:r w:rsidRPr="006958C8">
        <w:rPr>
          <w:b/>
          <w:sz w:val="20"/>
          <w:szCs w:val="20"/>
        </w:rPr>
        <w:t>ůže být v</w:t>
      </w:r>
      <w:r w:rsidR="006958C8">
        <w:rPr>
          <w:b/>
          <w:sz w:val="20"/>
          <w:szCs w:val="20"/>
        </w:rPr>
        <w:t>šak v</w:t>
      </w:r>
      <w:r w:rsidRPr="006958C8">
        <w:rPr>
          <w:b/>
          <w:sz w:val="20"/>
          <w:szCs w:val="20"/>
        </w:rPr>
        <w:t> rámci realizace</w:t>
      </w:r>
      <w:r w:rsidR="006958C8">
        <w:rPr>
          <w:b/>
          <w:sz w:val="20"/>
          <w:szCs w:val="20"/>
        </w:rPr>
        <w:t xml:space="preserve"> parametricky</w:t>
      </w:r>
      <w:r w:rsidRPr="006958C8">
        <w:rPr>
          <w:b/>
          <w:sz w:val="20"/>
          <w:szCs w:val="20"/>
        </w:rPr>
        <w:t xml:space="preserve"> upravován</w:t>
      </w:r>
      <w:r w:rsidR="0045602E">
        <w:rPr>
          <w:b/>
          <w:sz w:val="20"/>
          <w:szCs w:val="20"/>
        </w:rPr>
        <w:t>o</w:t>
      </w:r>
      <w:r w:rsidRPr="006958C8">
        <w:rPr>
          <w:b/>
          <w:sz w:val="20"/>
          <w:szCs w:val="20"/>
        </w:rPr>
        <w:t xml:space="preserve"> a může být požádáno o </w:t>
      </w:r>
      <w:r w:rsidRPr="006958C8">
        <w:rPr>
          <w:b/>
          <w:sz w:val="20"/>
          <w:szCs w:val="20"/>
        </w:rPr>
        <w:lastRenderedPageBreak/>
        <w:t>doplnění dalších položek a pohledů na základě informací dostupných ve zdr</w:t>
      </w:r>
      <w:r w:rsidR="006958C8">
        <w:rPr>
          <w:b/>
          <w:sz w:val="20"/>
          <w:szCs w:val="20"/>
        </w:rPr>
        <w:t>ojový</w:t>
      </w:r>
      <w:r w:rsidR="00FE6FD2">
        <w:rPr>
          <w:b/>
          <w:sz w:val="20"/>
          <w:szCs w:val="20"/>
        </w:rPr>
        <w:t>ch</w:t>
      </w:r>
      <w:r w:rsidR="006958C8">
        <w:rPr>
          <w:b/>
          <w:sz w:val="20"/>
          <w:szCs w:val="20"/>
        </w:rPr>
        <w:t xml:space="preserve"> systémech Správy železnic.</w:t>
      </w:r>
    </w:p>
    <w:p w14:paraId="34528BF0" w14:textId="77777777" w:rsidR="00B3376E" w:rsidRDefault="00B3376E" w:rsidP="00FE6FD2">
      <w:pPr>
        <w:spacing w:after="0"/>
        <w:jc w:val="both"/>
        <w:rPr>
          <w:b/>
          <w:sz w:val="20"/>
          <w:szCs w:val="20"/>
        </w:rPr>
      </w:pPr>
    </w:p>
    <w:p w14:paraId="68D2D5E7" w14:textId="1BD8E6A9" w:rsidR="00B549F3" w:rsidRDefault="00B549F3" w:rsidP="00B549F3">
      <w:pPr>
        <w:pStyle w:val="Odstavecseseznamem"/>
        <w:numPr>
          <w:ilvl w:val="1"/>
          <w:numId w:val="18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Doplňující informace v rámci manažerského reportingu</w:t>
      </w:r>
    </w:p>
    <w:p w14:paraId="6B15A08F" w14:textId="77777777" w:rsidR="00B549F3" w:rsidRDefault="00B549F3" w:rsidP="00B549F3">
      <w:pPr>
        <w:pStyle w:val="Odstavecseseznamem"/>
        <w:ind w:left="1080"/>
        <w:jc w:val="both"/>
        <w:rPr>
          <w:b/>
          <w:sz w:val="20"/>
          <w:szCs w:val="20"/>
        </w:rPr>
      </w:pPr>
    </w:p>
    <w:p w14:paraId="43EE0C45" w14:textId="739340A7" w:rsidR="00B549F3" w:rsidRPr="00480570" w:rsidRDefault="00B549F3" w:rsidP="00B549F3">
      <w:pPr>
        <w:pStyle w:val="Odstavecseseznamem"/>
        <w:numPr>
          <w:ilvl w:val="0"/>
          <w:numId w:val="26"/>
        </w:numPr>
        <w:spacing w:line="240" w:lineRule="atLeast"/>
        <w:jc w:val="both"/>
        <w:rPr>
          <w:sz w:val="20"/>
          <w:szCs w:val="20"/>
        </w:rPr>
      </w:pPr>
      <w:r w:rsidRPr="00480570">
        <w:rPr>
          <w:b/>
          <w:bCs/>
          <w:sz w:val="20"/>
          <w:szCs w:val="20"/>
        </w:rPr>
        <w:t>Informační stránka</w:t>
      </w:r>
      <w:r w:rsidRPr="00480570">
        <w:rPr>
          <w:sz w:val="20"/>
          <w:szCs w:val="20"/>
        </w:rPr>
        <w:t xml:space="preserve"> – Samostatná stránka obsahující přehledné informace o jednotlivých položkách, které Report obsahuje. </w:t>
      </w:r>
    </w:p>
    <w:p w14:paraId="1E598065" w14:textId="6D33E479" w:rsidR="00B549F3" w:rsidRPr="00480570" w:rsidRDefault="00B549F3" w:rsidP="00B549F3">
      <w:pPr>
        <w:pStyle w:val="Odstavecseseznamem"/>
        <w:numPr>
          <w:ilvl w:val="0"/>
          <w:numId w:val="26"/>
        </w:numPr>
        <w:spacing w:line="240" w:lineRule="atLeast"/>
        <w:jc w:val="both"/>
        <w:rPr>
          <w:sz w:val="20"/>
          <w:szCs w:val="20"/>
        </w:rPr>
      </w:pPr>
      <w:r w:rsidRPr="00480570">
        <w:rPr>
          <w:b/>
          <w:bCs/>
          <w:sz w:val="20"/>
          <w:szCs w:val="20"/>
        </w:rPr>
        <w:t>„</w:t>
      </w:r>
      <w:proofErr w:type="spellStart"/>
      <w:r w:rsidRPr="00480570">
        <w:rPr>
          <w:b/>
          <w:bCs/>
          <w:sz w:val="20"/>
          <w:szCs w:val="20"/>
        </w:rPr>
        <w:t>Info</w:t>
      </w:r>
      <w:proofErr w:type="spellEnd"/>
      <w:r w:rsidRPr="00480570">
        <w:rPr>
          <w:b/>
          <w:bCs/>
          <w:sz w:val="20"/>
          <w:szCs w:val="20"/>
        </w:rPr>
        <w:t xml:space="preserve"> bubliny“</w:t>
      </w:r>
      <w:r w:rsidRPr="00480570">
        <w:rPr>
          <w:sz w:val="20"/>
          <w:szCs w:val="20"/>
        </w:rPr>
        <w:t xml:space="preserve"> – Možnost zobrazení si výstižného popisku pro jednotlivé položky přímo v Reportu u dané položky. </w:t>
      </w:r>
    </w:p>
    <w:p w14:paraId="7AD0D87C" w14:textId="58F4E242" w:rsidR="008558D4" w:rsidRPr="00480570" w:rsidRDefault="008558D4" w:rsidP="008558D4">
      <w:pPr>
        <w:pStyle w:val="Odstavecseseznamem"/>
        <w:spacing w:line="240" w:lineRule="atLeast"/>
        <w:jc w:val="both"/>
        <w:rPr>
          <w:b/>
          <w:bCs/>
          <w:sz w:val="20"/>
          <w:szCs w:val="20"/>
        </w:rPr>
      </w:pPr>
    </w:p>
    <w:p w14:paraId="4598E946" w14:textId="7F7CEC77" w:rsidR="008558D4" w:rsidRPr="00480570" w:rsidRDefault="008558D4" w:rsidP="008558D4">
      <w:pPr>
        <w:pStyle w:val="Odstavecseseznamem"/>
        <w:spacing w:line="240" w:lineRule="atLeast"/>
        <w:jc w:val="both"/>
        <w:rPr>
          <w:sz w:val="20"/>
          <w:szCs w:val="20"/>
        </w:rPr>
      </w:pPr>
      <w:r w:rsidRPr="00480570">
        <w:rPr>
          <w:bCs/>
          <w:sz w:val="20"/>
          <w:szCs w:val="20"/>
        </w:rPr>
        <w:t>Texty do informačních elementů v rámci manažerského reportingu budou dodány v rámci implementace.</w:t>
      </w:r>
    </w:p>
    <w:p w14:paraId="76937D29" w14:textId="77777777" w:rsidR="008558D4" w:rsidRDefault="008558D4" w:rsidP="008558D4">
      <w:pPr>
        <w:pStyle w:val="Odstavecseseznamem"/>
        <w:spacing w:line="240" w:lineRule="atLeast"/>
        <w:jc w:val="both"/>
      </w:pPr>
    </w:p>
    <w:p w14:paraId="209C0088" w14:textId="38F96501" w:rsidR="002B3A8F" w:rsidRDefault="002B3A8F" w:rsidP="002B3A8F">
      <w:pPr>
        <w:pStyle w:val="Odstavecseseznamem"/>
        <w:numPr>
          <w:ilvl w:val="1"/>
          <w:numId w:val="18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Operativní reporting pro nástroj </w:t>
      </w:r>
      <w:proofErr w:type="spellStart"/>
      <w:r>
        <w:rPr>
          <w:b/>
          <w:sz w:val="20"/>
          <w:szCs w:val="20"/>
        </w:rPr>
        <w:t>Analysis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for</w:t>
      </w:r>
      <w:proofErr w:type="spellEnd"/>
      <w:r>
        <w:rPr>
          <w:b/>
          <w:sz w:val="20"/>
          <w:szCs w:val="20"/>
        </w:rPr>
        <w:t xml:space="preserve"> MS Office</w:t>
      </w:r>
    </w:p>
    <w:p w14:paraId="52A4B64C" w14:textId="363B82E3" w:rsidR="002B3A8F" w:rsidRDefault="002B3A8F" w:rsidP="002B3A8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rámci implementace manažerského reportingu pro SAC budou vznikat podkladové zdrojové reporty v prostředí SAP BW4HANA. Předpokladem je využít tyto podkladové reporty pro operativní reporting v prostředí </w:t>
      </w:r>
      <w:proofErr w:type="spellStart"/>
      <w:r>
        <w:rPr>
          <w:sz w:val="20"/>
          <w:szCs w:val="20"/>
        </w:rPr>
        <w:t>Analysis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for</w:t>
      </w:r>
      <w:proofErr w:type="spellEnd"/>
      <w:r>
        <w:rPr>
          <w:sz w:val="20"/>
          <w:szCs w:val="20"/>
        </w:rPr>
        <w:t xml:space="preserve"> MS Office.</w:t>
      </w:r>
      <w:r w:rsidR="0012204C">
        <w:rPr>
          <w:sz w:val="20"/>
          <w:szCs w:val="20"/>
        </w:rPr>
        <w:t xml:space="preserve"> Operativní reporty budou obsahovat vstupní obrazovku pro omezení filtrů (detail vstupní obrazovky bude řešen v rámci implementace</w:t>
      </w:r>
      <w:r w:rsidR="00731744">
        <w:rPr>
          <w:sz w:val="20"/>
          <w:szCs w:val="20"/>
        </w:rPr>
        <w:t>)</w:t>
      </w:r>
      <w:r w:rsidR="0012204C">
        <w:rPr>
          <w:sz w:val="20"/>
          <w:szCs w:val="20"/>
        </w:rPr>
        <w:t>.</w:t>
      </w:r>
      <w:r w:rsidR="009A7B10">
        <w:rPr>
          <w:sz w:val="20"/>
          <w:szCs w:val="20"/>
        </w:rPr>
        <w:t xml:space="preserve"> V rámci implementace funkcionality pro SAC by se mělo (pokud to bude technicky) možné postupovat tak, aby vznikl univerzální provider pro použití i v rámci </w:t>
      </w:r>
      <w:proofErr w:type="spellStart"/>
      <w:r w:rsidR="009A7B10">
        <w:rPr>
          <w:sz w:val="20"/>
          <w:szCs w:val="20"/>
        </w:rPr>
        <w:t>Analysis</w:t>
      </w:r>
      <w:proofErr w:type="spellEnd"/>
      <w:r w:rsidR="009A7B10">
        <w:rPr>
          <w:sz w:val="20"/>
          <w:szCs w:val="20"/>
        </w:rPr>
        <w:t xml:space="preserve"> </w:t>
      </w:r>
      <w:proofErr w:type="spellStart"/>
      <w:r w:rsidR="009A7B10">
        <w:rPr>
          <w:sz w:val="20"/>
          <w:szCs w:val="20"/>
        </w:rPr>
        <w:t>for</w:t>
      </w:r>
      <w:proofErr w:type="spellEnd"/>
      <w:r w:rsidR="009A7B10">
        <w:rPr>
          <w:sz w:val="20"/>
          <w:szCs w:val="20"/>
        </w:rPr>
        <w:t xml:space="preserve"> MS Office.</w:t>
      </w:r>
    </w:p>
    <w:p w14:paraId="0CC6F90D" w14:textId="33E374C9" w:rsidR="00B3010B" w:rsidRDefault="00B3010B" w:rsidP="002B3A8F">
      <w:pPr>
        <w:jc w:val="both"/>
        <w:rPr>
          <w:sz w:val="20"/>
          <w:szCs w:val="20"/>
        </w:rPr>
      </w:pPr>
      <w:r>
        <w:rPr>
          <w:sz w:val="20"/>
          <w:szCs w:val="20"/>
        </w:rPr>
        <w:t>Tento operativní reporting by měl pokrýt tyto oblasti:</w:t>
      </w:r>
    </w:p>
    <w:p w14:paraId="38040901" w14:textId="2986C0A5" w:rsidR="009A7B10" w:rsidRDefault="009A7B10" w:rsidP="002B3A8F">
      <w:pPr>
        <w:jc w:val="both"/>
        <w:rPr>
          <w:b/>
          <w:sz w:val="20"/>
          <w:szCs w:val="20"/>
        </w:rPr>
      </w:pPr>
      <w:r w:rsidRPr="009A7B10">
        <w:rPr>
          <w:b/>
          <w:sz w:val="20"/>
          <w:szCs w:val="20"/>
        </w:rPr>
        <w:t xml:space="preserve">Počet bytových jednotek dle </w:t>
      </w:r>
      <w:proofErr w:type="gramStart"/>
      <w:r w:rsidRPr="009A7B10">
        <w:rPr>
          <w:b/>
          <w:sz w:val="20"/>
          <w:szCs w:val="20"/>
        </w:rPr>
        <w:t>OŘ</w:t>
      </w:r>
      <w:proofErr w:type="gramEnd"/>
    </w:p>
    <w:p w14:paraId="319943E6" w14:textId="5B45C92B" w:rsidR="009A7B10" w:rsidRDefault="009A7B10" w:rsidP="002B3A8F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Využití bytových prostor v m2</w:t>
      </w:r>
    </w:p>
    <w:p w14:paraId="1F435333" w14:textId="6678C485" w:rsidR="009A7B10" w:rsidRDefault="009A7B10" w:rsidP="002B3A8F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Průměrná sazba měsíc na m2</w:t>
      </w:r>
    </w:p>
    <w:p w14:paraId="421803E0" w14:textId="03435AC0" w:rsidR="009A7B10" w:rsidRDefault="009A7B10" w:rsidP="002B3A8F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Počet smluv na dobu určitou/neurčitou</w:t>
      </w:r>
    </w:p>
    <w:p w14:paraId="49FD37AA" w14:textId="0A06FF88" w:rsidR="009A7B10" w:rsidRPr="009A7B10" w:rsidRDefault="009A7B10" w:rsidP="002B3A8F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Počet bytů v rámci jednotlivých typů budov</w:t>
      </w:r>
    </w:p>
    <w:p w14:paraId="5891C1C0" w14:textId="1F4D4E3B" w:rsidR="009A7B10" w:rsidRDefault="0012204C" w:rsidP="002B3A8F">
      <w:pPr>
        <w:jc w:val="both"/>
        <w:rPr>
          <w:sz w:val="20"/>
          <w:szCs w:val="20"/>
        </w:rPr>
      </w:pPr>
      <w:r w:rsidRPr="0012204C">
        <w:rPr>
          <w:b/>
          <w:sz w:val="20"/>
          <w:szCs w:val="20"/>
        </w:rPr>
        <w:t>Seznam bytů</w:t>
      </w:r>
      <w:r w:rsidR="00687970">
        <w:rPr>
          <w:sz w:val="20"/>
          <w:szCs w:val="20"/>
        </w:rPr>
        <w:t xml:space="preserve"> – </w:t>
      </w:r>
      <w:r>
        <w:rPr>
          <w:sz w:val="20"/>
          <w:szCs w:val="20"/>
        </w:rPr>
        <w:t xml:space="preserve">Přehledový </w:t>
      </w:r>
      <w:proofErr w:type="spellStart"/>
      <w:r>
        <w:rPr>
          <w:sz w:val="20"/>
          <w:szCs w:val="20"/>
        </w:rPr>
        <w:t>Analysis</w:t>
      </w:r>
      <w:proofErr w:type="spellEnd"/>
      <w:r>
        <w:rPr>
          <w:sz w:val="20"/>
          <w:szCs w:val="20"/>
        </w:rPr>
        <w:t xml:space="preserve"> report odpovídající sekci „Seznam bytů“ na Obr. 3 – bude obsahovat následujíc</w:t>
      </w:r>
      <w:r w:rsidR="009A7B10">
        <w:rPr>
          <w:sz w:val="20"/>
          <w:szCs w:val="20"/>
        </w:rPr>
        <w:t>í</w:t>
      </w:r>
      <w:r w:rsidR="00687970">
        <w:rPr>
          <w:sz w:val="20"/>
          <w:szCs w:val="20"/>
        </w:rPr>
        <w:t xml:space="preserve"> charakteristiky:</w:t>
      </w:r>
    </w:p>
    <w:p w14:paraId="6B69A0B9" w14:textId="2E1E308D" w:rsidR="0012204C" w:rsidRDefault="0012204C" w:rsidP="002B3A8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Budova, Typ budovy, ID bytu, Nájemní smlouva, Typ bytu, Typ smlouvy, Dispozice, </w:t>
      </w:r>
      <w:proofErr w:type="spellStart"/>
      <w:r>
        <w:rPr>
          <w:sz w:val="20"/>
          <w:szCs w:val="20"/>
        </w:rPr>
        <w:t>Obsaditelné</w:t>
      </w:r>
      <w:proofErr w:type="spellEnd"/>
      <w:r>
        <w:rPr>
          <w:sz w:val="20"/>
          <w:szCs w:val="20"/>
        </w:rPr>
        <w:t>, Obsazené, Snížená kvalita, Výměra, Nájem, Sazba za m2.</w:t>
      </w:r>
    </w:p>
    <w:p w14:paraId="57396D3C" w14:textId="586AB7EF" w:rsidR="009A7B10" w:rsidRDefault="00687970" w:rsidP="002B3A8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rámci výše uvedených </w:t>
      </w:r>
      <w:r w:rsidR="005A1A25">
        <w:rPr>
          <w:sz w:val="20"/>
          <w:szCs w:val="20"/>
        </w:rPr>
        <w:t xml:space="preserve">reportů </w:t>
      </w:r>
      <w:r w:rsidR="009A7B10">
        <w:rPr>
          <w:sz w:val="20"/>
          <w:szCs w:val="20"/>
        </w:rPr>
        <w:t>půjde filtrovat přes základní filtry jako v SAC (např. OŘ, Kraj, SR70, Typ budovy atd.)</w:t>
      </w:r>
    </w:p>
    <w:p w14:paraId="2AB7D625" w14:textId="4EAE6469" w:rsidR="005A1A25" w:rsidRDefault="00687970" w:rsidP="002B3A8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Další požadované charakteristiky: </w:t>
      </w:r>
      <w:r w:rsidR="005A1A25">
        <w:rPr>
          <w:sz w:val="20"/>
          <w:szCs w:val="20"/>
        </w:rPr>
        <w:t>Funkce budovy, druh smlouvy (komerční, výpůjčka, byt), účel nájmu</w:t>
      </w:r>
      <w:r>
        <w:rPr>
          <w:sz w:val="20"/>
          <w:szCs w:val="20"/>
        </w:rPr>
        <w:t>.</w:t>
      </w:r>
    </w:p>
    <w:p w14:paraId="1026E865" w14:textId="13DA4CBD" w:rsidR="00B3010B" w:rsidRDefault="00B3010B" w:rsidP="002B3A8F">
      <w:pPr>
        <w:jc w:val="both"/>
        <w:rPr>
          <w:sz w:val="20"/>
          <w:szCs w:val="20"/>
        </w:rPr>
      </w:pPr>
      <w:r>
        <w:rPr>
          <w:sz w:val="20"/>
          <w:szCs w:val="20"/>
        </w:rPr>
        <w:t>Oblasti by měli odpovídat vývoji pro manažerský reporting SAC, přesná definice polí bude vydefinována v rámci implementace.</w:t>
      </w:r>
    </w:p>
    <w:p w14:paraId="389B534B" w14:textId="679D085C" w:rsidR="00547E89" w:rsidRDefault="00547E89" w:rsidP="00B40BC7">
      <w:pPr>
        <w:jc w:val="both"/>
        <w:rPr>
          <w:sz w:val="20"/>
          <w:szCs w:val="20"/>
        </w:rPr>
      </w:pPr>
    </w:p>
    <w:p w14:paraId="0E56AACF" w14:textId="05DA7A7F" w:rsidR="00687970" w:rsidRDefault="00687970" w:rsidP="00B40BC7">
      <w:pPr>
        <w:jc w:val="both"/>
        <w:rPr>
          <w:sz w:val="20"/>
          <w:szCs w:val="20"/>
        </w:rPr>
      </w:pPr>
    </w:p>
    <w:p w14:paraId="299A0D64" w14:textId="2B79E2DE" w:rsidR="00687970" w:rsidRDefault="00687970" w:rsidP="00B40BC7">
      <w:pPr>
        <w:jc w:val="both"/>
        <w:rPr>
          <w:sz w:val="20"/>
          <w:szCs w:val="20"/>
        </w:rPr>
      </w:pPr>
    </w:p>
    <w:p w14:paraId="7E01303E" w14:textId="77777777" w:rsidR="00687970" w:rsidRPr="002F4075" w:rsidRDefault="00687970" w:rsidP="00B40BC7">
      <w:pPr>
        <w:jc w:val="both"/>
        <w:rPr>
          <w:sz w:val="20"/>
          <w:szCs w:val="20"/>
        </w:rPr>
      </w:pPr>
    </w:p>
    <w:p w14:paraId="389DF12D" w14:textId="0C309FF9" w:rsidR="00AD4A2A" w:rsidRDefault="00AD4A2A" w:rsidP="00744076">
      <w:pPr>
        <w:pStyle w:val="Odstavecseseznamem"/>
        <w:numPr>
          <w:ilvl w:val="0"/>
          <w:numId w:val="18"/>
        </w:numPr>
        <w:jc w:val="both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r w:rsidRPr="00744076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Základní terminologie</w:t>
      </w:r>
    </w:p>
    <w:p w14:paraId="50A790D0" w14:textId="17E93BC7" w:rsidR="00AD4A2A" w:rsidRDefault="00AD4A2A" w:rsidP="00AD4A2A">
      <w:pPr>
        <w:pStyle w:val="Odstavecseseznamem"/>
        <w:ind w:left="1080"/>
        <w:jc w:val="both"/>
        <w:rPr>
          <w:sz w:val="20"/>
          <w:szCs w:val="20"/>
        </w:rPr>
      </w:pPr>
    </w:p>
    <w:tbl>
      <w:tblPr>
        <w:tblStyle w:val="Tabulkaseznamu3zvraznn1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63"/>
        <w:gridCol w:w="6929"/>
      </w:tblGrid>
      <w:tr w:rsidR="00AD4A2A" w:rsidRPr="004269EE" w14:paraId="2762D8F0" w14:textId="77777777" w:rsidTr="004805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14" w:type="pct"/>
            <w:tcBorders>
              <w:bottom w:val="none" w:sz="0" w:space="0" w:color="auto"/>
              <w:right w:val="none" w:sz="0" w:space="0" w:color="auto"/>
            </w:tcBorders>
            <w:vAlign w:val="center"/>
          </w:tcPr>
          <w:p w14:paraId="2D809159" w14:textId="77777777" w:rsidR="00AD4A2A" w:rsidRPr="00AD4A2A" w:rsidRDefault="00AD4A2A" w:rsidP="00F53D8D">
            <w:pPr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Pojem</w:t>
            </w:r>
          </w:p>
        </w:tc>
        <w:tc>
          <w:tcPr>
            <w:tcW w:w="3986" w:type="pct"/>
            <w:vAlign w:val="center"/>
          </w:tcPr>
          <w:p w14:paraId="3854C6FE" w14:textId="77777777" w:rsidR="00AD4A2A" w:rsidRPr="00AD4A2A" w:rsidRDefault="00AD4A2A" w:rsidP="00F53D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Definice</w:t>
            </w:r>
          </w:p>
        </w:tc>
      </w:tr>
      <w:tr w:rsidR="00AD4A2A" w:rsidRPr="004269EE" w14:paraId="74208E65" w14:textId="77777777" w:rsidTr="00480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4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62940CA" w14:textId="77777777" w:rsidR="00AD4A2A" w:rsidRPr="00AD4A2A" w:rsidRDefault="00AD4A2A" w:rsidP="00AD4A2A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 xml:space="preserve">Business </w:t>
            </w:r>
            <w:proofErr w:type="spellStart"/>
            <w:r w:rsidRPr="00AD4A2A">
              <w:rPr>
                <w:rFonts w:asciiTheme="minorHAnsi" w:hAnsiTheme="minorHAnsi"/>
              </w:rPr>
              <w:t>Intelligence</w:t>
            </w:r>
            <w:proofErr w:type="spellEnd"/>
          </w:p>
        </w:tc>
        <w:tc>
          <w:tcPr>
            <w:tcW w:w="3986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7A73171" w14:textId="77777777" w:rsidR="00AD4A2A" w:rsidRPr="00AD4A2A" w:rsidRDefault="00AD4A2A" w:rsidP="00AD4A2A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Pokročilá vizualizace dat, která využívá znalosti, technologie, aplikace, analýzy a další postupy za účelem sběru, integrace a správné interpretace a prezentace obchodních informací.</w:t>
            </w:r>
          </w:p>
        </w:tc>
      </w:tr>
      <w:tr w:rsidR="00AD4A2A" w:rsidRPr="004269EE" w14:paraId="010CB486" w14:textId="77777777" w:rsidTr="0048057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4" w:type="pct"/>
            <w:tcBorders>
              <w:right w:val="none" w:sz="0" w:space="0" w:color="auto"/>
            </w:tcBorders>
            <w:vAlign w:val="center"/>
          </w:tcPr>
          <w:p w14:paraId="2003AA6F" w14:textId="77777777" w:rsidR="00AD4A2A" w:rsidRPr="00AD4A2A" w:rsidRDefault="00AD4A2A" w:rsidP="00F53D8D">
            <w:pPr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Report</w:t>
            </w:r>
          </w:p>
        </w:tc>
        <w:tc>
          <w:tcPr>
            <w:tcW w:w="3986" w:type="pct"/>
            <w:vAlign w:val="center"/>
          </w:tcPr>
          <w:p w14:paraId="47AE33F9" w14:textId="77777777" w:rsidR="00AD4A2A" w:rsidRPr="00AD4A2A" w:rsidRDefault="00AD4A2A" w:rsidP="00AD4A2A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 xml:space="preserve">Manažerský report pro správu nemovitostí </w:t>
            </w:r>
          </w:p>
        </w:tc>
      </w:tr>
      <w:tr w:rsidR="00AD4A2A" w:rsidRPr="004269EE" w14:paraId="05659645" w14:textId="77777777" w:rsidTr="00480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4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F761CB8" w14:textId="77777777" w:rsidR="00AD4A2A" w:rsidRPr="00AD4A2A" w:rsidRDefault="00AD4A2A" w:rsidP="00F53D8D">
            <w:pPr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SR70</w:t>
            </w:r>
          </w:p>
        </w:tc>
        <w:tc>
          <w:tcPr>
            <w:tcW w:w="3986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138A6D8" w14:textId="77777777" w:rsidR="00AD4A2A" w:rsidRPr="00AD4A2A" w:rsidRDefault="00AD4A2A" w:rsidP="00AD4A2A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Číselník železničních stanic a dopravně významných míst</w:t>
            </w:r>
          </w:p>
        </w:tc>
      </w:tr>
    </w:tbl>
    <w:p w14:paraId="69A6FCDC" w14:textId="13414542" w:rsidR="00AD4A2A" w:rsidRDefault="00AD4A2A" w:rsidP="00AD4A2A">
      <w:pPr>
        <w:pStyle w:val="Odstavecseseznamem"/>
        <w:ind w:left="1080"/>
        <w:jc w:val="both"/>
        <w:rPr>
          <w:sz w:val="20"/>
          <w:szCs w:val="20"/>
        </w:rPr>
      </w:pPr>
    </w:p>
    <w:tbl>
      <w:tblPr>
        <w:tblStyle w:val="Tabulkaseznamu3zvraznn1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63"/>
        <w:gridCol w:w="6929"/>
      </w:tblGrid>
      <w:tr w:rsidR="00AD4A2A" w:rsidRPr="004269EE" w14:paraId="278D304D" w14:textId="77777777" w:rsidTr="004805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14" w:type="pct"/>
            <w:vAlign w:val="center"/>
          </w:tcPr>
          <w:p w14:paraId="36472E68" w14:textId="77777777" w:rsidR="00AD4A2A" w:rsidRPr="00AD4A2A" w:rsidRDefault="00AD4A2A" w:rsidP="00F53D8D">
            <w:pPr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Zkratka</w:t>
            </w:r>
          </w:p>
        </w:tc>
        <w:tc>
          <w:tcPr>
            <w:tcW w:w="3986" w:type="pct"/>
            <w:vAlign w:val="center"/>
          </w:tcPr>
          <w:p w14:paraId="63CC16A2" w14:textId="77777777" w:rsidR="00AD4A2A" w:rsidRPr="00AD4A2A" w:rsidRDefault="00AD4A2A" w:rsidP="00F53D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Význam</w:t>
            </w:r>
          </w:p>
        </w:tc>
      </w:tr>
      <w:tr w:rsidR="00AD4A2A" w14:paraId="7AD9BCB4" w14:textId="77777777" w:rsidTr="00480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4" w:type="pct"/>
            <w:vAlign w:val="center"/>
          </w:tcPr>
          <w:p w14:paraId="6E82BF94" w14:textId="77777777" w:rsidR="00AD4A2A" w:rsidRPr="00AD4A2A" w:rsidRDefault="00AD4A2A" w:rsidP="00AD4A2A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AO</w:t>
            </w:r>
          </w:p>
        </w:tc>
        <w:tc>
          <w:tcPr>
            <w:tcW w:w="3986" w:type="pct"/>
            <w:vAlign w:val="center"/>
          </w:tcPr>
          <w:p w14:paraId="28FC8727" w14:textId="77777777" w:rsidR="00AD4A2A" w:rsidRPr="00AD4A2A" w:rsidRDefault="00AD4A2A" w:rsidP="00AD4A2A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Architektonický objekt</w:t>
            </w:r>
          </w:p>
        </w:tc>
      </w:tr>
      <w:tr w:rsidR="00AD4A2A" w:rsidRPr="00011CD1" w14:paraId="2B91FB92" w14:textId="77777777" w:rsidTr="0048057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4" w:type="pct"/>
            <w:vAlign w:val="center"/>
          </w:tcPr>
          <w:p w14:paraId="0E2947EB" w14:textId="77777777" w:rsidR="00AD4A2A" w:rsidRPr="00AD4A2A" w:rsidRDefault="00AD4A2A" w:rsidP="00AD4A2A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BI</w:t>
            </w:r>
          </w:p>
        </w:tc>
        <w:tc>
          <w:tcPr>
            <w:tcW w:w="3986" w:type="pct"/>
            <w:vAlign w:val="center"/>
          </w:tcPr>
          <w:p w14:paraId="60B8C608" w14:textId="77777777" w:rsidR="00AD4A2A" w:rsidRPr="00AD4A2A" w:rsidRDefault="00AD4A2A" w:rsidP="00AD4A2A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 xml:space="preserve">Business </w:t>
            </w:r>
            <w:proofErr w:type="spellStart"/>
            <w:r w:rsidRPr="00AD4A2A">
              <w:rPr>
                <w:rFonts w:asciiTheme="minorHAnsi" w:hAnsiTheme="minorHAnsi"/>
              </w:rPr>
              <w:t>Intelligence</w:t>
            </w:r>
            <w:proofErr w:type="spellEnd"/>
            <w:r w:rsidRPr="00AD4A2A">
              <w:rPr>
                <w:rFonts w:asciiTheme="minorHAnsi" w:hAnsiTheme="minorHAnsi"/>
              </w:rPr>
              <w:t xml:space="preserve"> </w:t>
            </w:r>
          </w:p>
        </w:tc>
      </w:tr>
      <w:tr w:rsidR="00AD4A2A" w14:paraId="7FA0CB8F" w14:textId="77777777" w:rsidTr="00480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4" w:type="pct"/>
            <w:vAlign w:val="center"/>
          </w:tcPr>
          <w:p w14:paraId="1A6CE1A3" w14:textId="77777777" w:rsidR="00AD4A2A" w:rsidRPr="00AD4A2A" w:rsidRDefault="00AD4A2A" w:rsidP="00AD4A2A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CO</w:t>
            </w:r>
          </w:p>
        </w:tc>
        <w:tc>
          <w:tcPr>
            <w:tcW w:w="3986" w:type="pct"/>
            <w:vAlign w:val="center"/>
          </w:tcPr>
          <w:p w14:paraId="5E18FCA2" w14:textId="77777777" w:rsidR="00AD4A2A" w:rsidRPr="00AD4A2A" w:rsidRDefault="00AD4A2A" w:rsidP="00AD4A2A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Controlling</w:t>
            </w:r>
          </w:p>
        </w:tc>
      </w:tr>
      <w:tr w:rsidR="00AD4A2A" w14:paraId="4BF4B657" w14:textId="77777777" w:rsidTr="0048057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4" w:type="pct"/>
            <w:vAlign w:val="center"/>
          </w:tcPr>
          <w:p w14:paraId="56AE1EB0" w14:textId="77777777" w:rsidR="00AD4A2A" w:rsidRPr="00AD4A2A" w:rsidRDefault="00AD4A2A" w:rsidP="00AD4A2A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 xml:space="preserve">EN </w:t>
            </w:r>
          </w:p>
        </w:tc>
        <w:tc>
          <w:tcPr>
            <w:tcW w:w="3986" w:type="pct"/>
            <w:vAlign w:val="center"/>
          </w:tcPr>
          <w:p w14:paraId="70DC3BF2" w14:textId="77777777" w:rsidR="00AD4A2A" w:rsidRPr="00AD4A2A" w:rsidRDefault="00AD4A2A" w:rsidP="00AD4A2A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 xml:space="preserve">Náměstek GŘ pro ekonomiku </w:t>
            </w:r>
          </w:p>
        </w:tc>
      </w:tr>
      <w:tr w:rsidR="00AD4A2A" w14:paraId="71FC77AF" w14:textId="77777777" w:rsidTr="00480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4" w:type="pct"/>
            <w:vAlign w:val="center"/>
          </w:tcPr>
          <w:p w14:paraId="0603F22A" w14:textId="77777777" w:rsidR="00AD4A2A" w:rsidRPr="00AD4A2A" w:rsidRDefault="00AD4A2A" w:rsidP="00AD4A2A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HJ</w:t>
            </w:r>
          </w:p>
        </w:tc>
        <w:tc>
          <w:tcPr>
            <w:tcW w:w="3986" w:type="pct"/>
            <w:vAlign w:val="center"/>
          </w:tcPr>
          <w:p w14:paraId="606DDE77" w14:textId="77777777" w:rsidR="00AD4A2A" w:rsidRPr="00AD4A2A" w:rsidRDefault="00AD4A2A" w:rsidP="00AD4A2A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Hospodářská jednotka</w:t>
            </w:r>
          </w:p>
        </w:tc>
      </w:tr>
      <w:tr w:rsidR="00AD4A2A" w14:paraId="1C1FB2B5" w14:textId="77777777" w:rsidTr="0048057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4" w:type="pct"/>
            <w:vAlign w:val="center"/>
          </w:tcPr>
          <w:p w14:paraId="7D886975" w14:textId="77777777" w:rsidR="00AD4A2A" w:rsidRPr="00AD4A2A" w:rsidRDefault="00AD4A2A" w:rsidP="00AD4A2A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NM</w:t>
            </w:r>
          </w:p>
        </w:tc>
        <w:tc>
          <w:tcPr>
            <w:tcW w:w="3986" w:type="pct"/>
            <w:vAlign w:val="center"/>
          </w:tcPr>
          <w:p w14:paraId="7542BB7D" w14:textId="77777777" w:rsidR="00AD4A2A" w:rsidRPr="00AD4A2A" w:rsidRDefault="00AD4A2A" w:rsidP="00AD4A2A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Náměstek GŘ pro modernizaci dráhy</w:t>
            </w:r>
          </w:p>
        </w:tc>
      </w:tr>
      <w:tr w:rsidR="00AD4A2A" w14:paraId="6DF57874" w14:textId="77777777" w:rsidTr="00480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4" w:type="pct"/>
            <w:vAlign w:val="center"/>
          </w:tcPr>
          <w:p w14:paraId="07178CD2" w14:textId="77777777" w:rsidR="00AD4A2A" w:rsidRPr="00AD4A2A" w:rsidRDefault="00AD4A2A" w:rsidP="00AD4A2A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NO</w:t>
            </w:r>
          </w:p>
        </w:tc>
        <w:tc>
          <w:tcPr>
            <w:tcW w:w="3986" w:type="pct"/>
            <w:vAlign w:val="center"/>
          </w:tcPr>
          <w:p w14:paraId="2D81F735" w14:textId="77777777" w:rsidR="00AD4A2A" w:rsidRPr="00AD4A2A" w:rsidRDefault="00AD4A2A" w:rsidP="00AD4A2A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Nájemní objekt</w:t>
            </w:r>
          </w:p>
        </w:tc>
      </w:tr>
      <w:tr w:rsidR="00AD4A2A" w14:paraId="1A42953E" w14:textId="77777777" w:rsidTr="0048057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4" w:type="pct"/>
            <w:vAlign w:val="center"/>
          </w:tcPr>
          <w:p w14:paraId="7D1AEFED" w14:textId="77777777" w:rsidR="00AD4A2A" w:rsidRPr="00AD4A2A" w:rsidRDefault="00AD4A2A" w:rsidP="00AD4A2A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NPS</w:t>
            </w:r>
          </w:p>
        </w:tc>
        <w:tc>
          <w:tcPr>
            <w:tcW w:w="3986" w:type="pct"/>
            <w:vAlign w:val="center"/>
          </w:tcPr>
          <w:p w14:paraId="0D73459F" w14:textId="77777777" w:rsidR="00AD4A2A" w:rsidRPr="00AD4A2A" w:rsidRDefault="00AD4A2A" w:rsidP="00AD4A2A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Náměstek GŘ pro provozuschopnost dráhy</w:t>
            </w:r>
          </w:p>
        </w:tc>
      </w:tr>
      <w:tr w:rsidR="00AD4A2A" w14:paraId="32C454AF" w14:textId="77777777" w:rsidTr="00480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4" w:type="pct"/>
            <w:vAlign w:val="center"/>
          </w:tcPr>
          <w:p w14:paraId="07643302" w14:textId="77777777" w:rsidR="00AD4A2A" w:rsidRPr="00AD4A2A" w:rsidRDefault="00AD4A2A" w:rsidP="00AD4A2A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NŘP</w:t>
            </w:r>
          </w:p>
        </w:tc>
        <w:tc>
          <w:tcPr>
            <w:tcW w:w="3986" w:type="pct"/>
            <w:vAlign w:val="center"/>
          </w:tcPr>
          <w:p w14:paraId="2A059225" w14:textId="77777777" w:rsidR="00AD4A2A" w:rsidRPr="00AD4A2A" w:rsidRDefault="00AD4A2A" w:rsidP="00AD4A2A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Náměstek GŘ pro řízení provozu</w:t>
            </w:r>
          </w:p>
        </w:tc>
      </w:tr>
      <w:tr w:rsidR="00AD4A2A" w14:paraId="50787006" w14:textId="77777777" w:rsidTr="0048057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4" w:type="pct"/>
            <w:vAlign w:val="center"/>
          </w:tcPr>
          <w:p w14:paraId="30F17CBD" w14:textId="77777777" w:rsidR="00AD4A2A" w:rsidRPr="00AD4A2A" w:rsidRDefault="00AD4A2A" w:rsidP="00AD4A2A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OŘ</w:t>
            </w:r>
          </w:p>
        </w:tc>
        <w:tc>
          <w:tcPr>
            <w:tcW w:w="3986" w:type="pct"/>
            <w:vAlign w:val="center"/>
          </w:tcPr>
          <w:p w14:paraId="3B4B3D38" w14:textId="77777777" w:rsidR="00AD4A2A" w:rsidRPr="00AD4A2A" w:rsidRDefault="00AD4A2A" w:rsidP="00AD4A2A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Oblastní ředitelství</w:t>
            </w:r>
          </w:p>
        </w:tc>
      </w:tr>
      <w:tr w:rsidR="00AD4A2A" w14:paraId="3E0DEF72" w14:textId="77777777" w:rsidTr="00480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4" w:type="pct"/>
            <w:vAlign w:val="center"/>
          </w:tcPr>
          <w:p w14:paraId="376E787D" w14:textId="77777777" w:rsidR="00AD4A2A" w:rsidRPr="00AD4A2A" w:rsidRDefault="00AD4A2A" w:rsidP="00AD4A2A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REM</w:t>
            </w:r>
          </w:p>
        </w:tc>
        <w:tc>
          <w:tcPr>
            <w:tcW w:w="3986" w:type="pct"/>
            <w:vAlign w:val="center"/>
          </w:tcPr>
          <w:p w14:paraId="241112E0" w14:textId="77777777" w:rsidR="00AD4A2A" w:rsidRPr="00AD4A2A" w:rsidRDefault="00AD4A2A" w:rsidP="00AD4A2A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 xml:space="preserve">Real </w:t>
            </w:r>
            <w:proofErr w:type="spellStart"/>
            <w:r w:rsidRPr="00AD4A2A">
              <w:rPr>
                <w:rFonts w:asciiTheme="minorHAnsi" w:hAnsiTheme="minorHAnsi"/>
              </w:rPr>
              <w:t>Estate</w:t>
            </w:r>
            <w:proofErr w:type="spellEnd"/>
            <w:r w:rsidRPr="00AD4A2A">
              <w:rPr>
                <w:rFonts w:asciiTheme="minorHAnsi" w:hAnsiTheme="minorHAnsi"/>
              </w:rPr>
              <w:t xml:space="preserve"> Management</w:t>
            </w:r>
          </w:p>
        </w:tc>
      </w:tr>
      <w:tr w:rsidR="00AD4A2A" w:rsidRPr="004269EE" w14:paraId="2666DE10" w14:textId="77777777" w:rsidTr="0048057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4" w:type="pct"/>
            <w:vAlign w:val="center"/>
          </w:tcPr>
          <w:p w14:paraId="37A7BA9C" w14:textId="77777777" w:rsidR="00AD4A2A" w:rsidRPr="00AD4A2A" w:rsidRDefault="00AD4A2A" w:rsidP="00AD4A2A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proofErr w:type="spellStart"/>
            <w:r w:rsidRPr="00AD4A2A">
              <w:rPr>
                <w:rFonts w:asciiTheme="minorHAnsi" w:hAnsiTheme="minorHAnsi"/>
              </w:rPr>
              <w:t>SaaS</w:t>
            </w:r>
            <w:proofErr w:type="spellEnd"/>
          </w:p>
        </w:tc>
        <w:tc>
          <w:tcPr>
            <w:tcW w:w="3986" w:type="pct"/>
            <w:vAlign w:val="center"/>
          </w:tcPr>
          <w:p w14:paraId="38AED67A" w14:textId="77777777" w:rsidR="00AD4A2A" w:rsidRPr="00AD4A2A" w:rsidRDefault="00AD4A2A" w:rsidP="00AD4A2A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 xml:space="preserve">Software as a </w:t>
            </w:r>
            <w:proofErr w:type="spellStart"/>
            <w:r w:rsidRPr="00AD4A2A">
              <w:rPr>
                <w:rFonts w:asciiTheme="minorHAnsi" w:hAnsiTheme="minorHAnsi"/>
              </w:rPr>
              <w:t>Service</w:t>
            </w:r>
            <w:proofErr w:type="spellEnd"/>
            <w:r w:rsidRPr="00AD4A2A">
              <w:rPr>
                <w:rFonts w:asciiTheme="minorHAnsi" w:hAnsiTheme="minorHAnsi"/>
              </w:rPr>
              <w:t xml:space="preserve"> (Software jako služba)</w:t>
            </w:r>
          </w:p>
        </w:tc>
      </w:tr>
      <w:tr w:rsidR="00AD4A2A" w:rsidRPr="004269EE" w14:paraId="46C1DEB9" w14:textId="77777777" w:rsidTr="00480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4" w:type="pct"/>
            <w:vAlign w:val="center"/>
          </w:tcPr>
          <w:p w14:paraId="5361DA30" w14:textId="77777777" w:rsidR="00AD4A2A" w:rsidRPr="00AD4A2A" w:rsidRDefault="00AD4A2A" w:rsidP="00AD4A2A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SAC</w:t>
            </w:r>
          </w:p>
        </w:tc>
        <w:tc>
          <w:tcPr>
            <w:tcW w:w="3986" w:type="pct"/>
            <w:vAlign w:val="center"/>
          </w:tcPr>
          <w:p w14:paraId="6BFC3D20" w14:textId="77777777" w:rsidR="00AD4A2A" w:rsidRPr="00AD4A2A" w:rsidRDefault="00AD4A2A" w:rsidP="00AD4A2A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 xml:space="preserve">SAP </w:t>
            </w:r>
            <w:proofErr w:type="spellStart"/>
            <w:r w:rsidRPr="00AD4A2A">
              <w:rPr>
                <w:rFonts w:asciiTheme="minorHAnsi" w:hAnsiTheme="minorHAnsi"/>
              </w:rPr>
              <w:t>Analytics</w:t>
            </w:r>
            <w:proofErr w:type="spellEnd"/>
            <w:r w:rsidRPr="00AD4A2A">
              <w:rPr>
                <w:rFonts w:asciiTheme="minorHAnsi" w:hAnsiTheme="minorHAnsi"/>
              </w:rPr>
              <w:t xml:space="preserve"> </w:t>
            </w:r>
            <w:proofErr w:type="spellStart"/>
            <w:r w:rsidRPr="00AD4A2A">
              <w:rPr>
                <w:rFonts w:asciiTheme="minorHAnsi" w:hAnsiTheme="minorHAnsi"/>
              </w:rPr>
              <w:t>Cloud</w:t>
            </w:r>
            <w:proofErr w:type="spellEnd"/>
          </w:p>
        </w:tc>
      </w:tr>
      <w:tr w:rsidR="00AD4A2A" w14:paraId="2D0837ED" w14:textId="77777777" w:rsidTr="0048057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4" w:type="pct"/>
            <w:vAlign w:val="center"/>
          </w:tcPr>
          <w:p w14:paraId="168A40D7" w14:textId="77777777" w:rsidR="00AD4A2A" w:rsidRPr="00AD4A2A" w:rsidRDefault="00AD4A2A" w:rsidP="00AD4A2A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SAP</w:t>
            </w:r>
          </w:p>
        </w:tc>
        <w:tc>
          <w:tcPr>
            <w:tcW w:w="3986" w:type="pct"/>
            <w:vAlign w:val="center"/>
          </w:tcPr>
          <w:p w14:paraId="50E64595" w14:textId="77777777" w:rsidR="00AD4A2A" w:rsidRPr="00AD4A2A" w:rsidRDefault="00AD4A2A" w:rsidP="00AD4A2A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 xml:space="preserve">Systems - </w:t>
            </w:r>
            <w:proofErr w:type="spellStart"/>
            <w:r w:rsidRPr="00AD4A2A">
              <w:rPr>
                <w:rFonts w:asciiTheme="minorHAnsi" w:hAnsiTheme="minorHAnsi"/>
              </w:rPr>
              <w:t>Applications</w:t>
            </w:r>
            <w:proofErr w:type="spellEnd"/>
            <w:r w:rsidRPr="00AD4A2A">
              <w:rPr>
                <w:rFonts w:asciiTheme="minorHAnsi" w:hAnsiTheme="minorHAnsi"/>
              </w:rPr>
              <w:t xml:space="preserve"> - </w:t>
            </w:r>
            <w:proofErr w:type="spellStart"/>
            <w:r w:rsidRPr="00AD4A2A">
              <w:rPr>
                <w:rFonts w:asciiTheme="minorHAnsi" w:hAnsiTheme="minorHAnsi"/>
              </w:rPr>
              <w:t>Products</w:t>
            </w:r>
            <w:proofErr w:type="spellEnd"/>
            <w:r w:rsidRPr="00AD4A2A">
              <w:rPr>
                <w:rFonts w:asciiTheme="minorHAnsi" w:hAnsiTheme="minorHAnsi"/>
              </w:rPr>
              <w:t xml:space="preserve"> in data </w:t>
            </w:r>
            <w:proofErr w:type="spellStart"/>
            <w:r w:rsidRPr="00AD4A2A">
              <w:rPr>
                <w:rFonts w:asciiTheme="minorHAnsi" w:hAnsiTheme="minorHAnsi"/>
              </w:rPr>
              <w:t>processing</w:t>
            </w:r>
            <w:proofErr w:type="spellEnd"/>
          </w:p>
        </w:tc>
      </w:tr>
      <w:tr w:rsidR="00AD4A2A" w:rsidRPr="004269EE" w14:paraId="78EAC361" w14:textId="77777777" w:rsidTr="004805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4" w:type="pct"/>
            <w:vAlign w:val="center"/>
          </w:tcPr>
          <w:p w14:paraId="2F564DEC" w14:textId="77777777" w:rsidR="00AD4A2A" w:rsidRPr="00AD4A2A" w:rsidRDefault="00AD4A2A" w:rsidP="00AD4A2A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SŽ</w:t>
            </w:r>
          </w:p>
        </w:tc>
        <w:tc>
          <w:tcPr>
            <w:tcW w:w="3986" w:type="pct"/>
            <w:vAlign w:val="center"/>
          </w:tcPr>
          <w:p w14:paraId="1CF833DF" w14:textId="77777777" w:rsidR="00AD4A2A" w:rsidRPr="00AD4A2A" w:rsidRDefault="00AD4A2A" w:rsidP="00AD4A2A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AD4A2A">
              <w:rPr>
                <w:rFonts w:asciiTheme="minorHAnsi" w:hAnsiTheme="minorHAnsi"/>
              </w:rPr>
              <w:t>Správa železnic</w:t>
            </w:r>
          </w:p>
        </w:tc>
      </w:tr>
    </w:tbl>
    <w:p w14:paraId="4A0AC393" w14:textId="77777777" w:rsidR="00AD4A2A" w:rsidRPr="00AD4A2A" w:rsidRDefault="00AD4A2A" w:rsidP="00AD4A2A">
      <w:pPr>
        <w:pStyle w:val="Odstavecseseznamem"/>
        <w:ind w:left="1080"/>
        <w:jc w:val="both"/>
        <w:rPr>
          <w:sz w:val="20"/>
          <w:szCs w:val="20"/>
        </w:rPr>
      </w:pPr>
    </w:p>
    <w:p w14:paraId="472E435D" w14:textId="2782ECAA" w:rsidR="00040D2C" w:rsidRPr="00334D68" w:rsidRDefault="00AD4A2A" w:rsidP="00744076">
      <w:pPr>
        <w:pStyle w:val="Odstavecseseznamem"/>
        <w:numPr>
          <w:ilvl w:val="1"/>
          <w:numId w:val="18"/>
        </w:numPr>
        <w:jc w:val="both"/>
        <w:rPr>
          <w:b/>
          <w:sz w:val="20"/>
          <w:szCs w:val="20"/>
        </w:rPr>
      </w:pPr>
      <w:r w:rsidRPr="00334D68">
        <w:rPr>
          <w:b/>
          <w:sz w:val="20"/>
          <w:szCs w:val="20"/>
        </w:rPr>
        <w:t>Prostředí</w:t>
      </w:r>
    </w:p>
    <w:p w14:paraId="69800565" w14:textId="77777777" w:rsidR="00744076" w:rsidRDefault="00AD4A2A" w:rsidP="00AD4A2A">
      <w:pPr>
        <w:jc w:val="both"/>
        <w:rPr>
          <w:sz w:val="20"/>
          <w:szCs w:val="20"/>
        </w:rPr>
      </w:pPr>
      <w:r w:rsidRPr="00AD4A2A">
        <w:rPr>
          <w:sz w:val="20"/>
          <w:szCs w:val="20"/>
        </w:rPr>
        <w:lastRenderedPageBreak/>
        <w:t xml:space="preserve">Pro řešení problematiky Manažerského reportingu bytového fondu bylo vybráno řešení SAP </w:t>
      </w:r>
      <w:proofErr w:type="spellStart"/>
      <w:r w:rsidRPr="00AD4A2A">
        <w:rPr>
          <w:sz w:val="20"/>
          <w:szCs w:val="20"/>
        </w:rPr>
        <w:t>Analytics</w:t>
      </w:r>
      <w:proofErr w:type="spellEnd"/>
      <w:r w:rsidRPr="00AD4A2A">
        <w:rPr>
          <w:sz w:val="20"/>
          <w:szCs w:val="20"/>
        </w:rPr>
        <w:t xml:space="preserve"> </w:t>
      </w:r>
      <w:proofErr w:type="spellStart"/>
      <w:r w:rsidRPr="00AD4A2A">
        <w:rPr>
          <w:sz w:val="20"/>
          <w:szCs w:val="20"/>
        </w:rPr>
        <w:t>Cloud</w:t>
      </w:r>
      <w:proofErr w:type="spellEnd"/>
      <w:r w:rsidRPr="00AD4A2A">
        <w:rPr>
          <w:sz w:val="20"/>
          <w:szCs w:val="20"/>
        </w:rPr>
        <w:t xml:space="preserve"> (dále také jako „SAC“). </w:t>
      </w:r>
      <w:r w:rsidR="00744076">
        <w:rPr>
          <w:sz w:val="20"/>
          <w:szCs w:val="20"/>
        </w:rPr>
        <w:t xml:space="preserve"> </w:t>
      </w:r>
    </w:p>
    <w:p w14:paraId="42F869DD" w14:textId="48E1CF3A" w:rsidR="00AD4A2A" w:rsidRDefault="00744076" w:rsidP="00AD4A2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 prostředí operativního reportingu se jedná o prostředí </w:t>
      </w:r>
      <w:proofErr w:type="spellStart"/>
      <w:r>
        <w:rPr>
          <w:sz w:val="20"/>
          <w:szCs w:val="20"/>
        </w:rPr>
        <w:t>Analysis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for</w:t>
      </w:r>
      <w:proofErr w:type="spellEnd"/>
      <w:r>
        <w:rPr>
          <w:sz w:val="20"/>
          <w:szCs w:val="20"/>
        </w:rPr>
        <w:t xml:space="preserve"> MS Office.</w:t>
      </w:r>
    </w:p>
    <w:p w14:paraId="104A4D4D" w14:textId="77777777" w:rsidR="00AD4A2A" w:rsidRPr="00334D68" w:rsidRDefault="00AD4A2A" w:rsidP="00744076">
      <w:pPr>
        <w:pStyle w:val="Odstavecseseznamem"/>
        <w:numPr>
          <w:ilvl w:val="1"/>
          <w:numId w:val="18"/>
        </w:numPr>
        <w:jc w:val="both"/>
        <w:rPr>
          <w:b/>
          <w:sz w:val="20"/>
          <w:szCs w:val="20"/>
        </w:rPr>
      </w:pPr>
      <w:r w:rsidRPr="00334D68">
        <w:rPr>
          <w:b/>
          <w:sz w:val="20"/>
          <w:szCs w:val="20"/>
        </w:rPr>
        <w:t>Datové zdroje manažerského reportu bytového fondu SŽ</w:t>
      </w:r>
    </w:p>
    <w:p w14:paraId="34576A09" w14:textId="4B01FA73" w:rsidR="00AD4A2A" w:rsidRDefault="00AD4A2A" w:rsidP="00C17E3E">
      <w:pPr>
        <w:jc w:val="both"/>
        <w:rPr>
          <w:sz w:val="20"/>
          <w:szCs w:val="20"/>
        </w:rPr>
      </w:pPr>
      <w:r w:rsidRPr="00AD4A2A">
        <w:rPr>
          <w:sz w:val="20"/>
          <w:szCs w:val="20"/>
        </w:rPr>
        <w:t xml:space="preserve">Kapitola popisuje základní datové zdroje pro Report. Přehled datových zdrojů může být v rámci realizace rozšířen. </w:t>
      </w:r>
    </w:p>
    <w:tbl>
      <w:tblPr>
        <w:tblStyle w:val="Tabulkaseznamu3zvraznn11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52"/>
        <w:gridCol w:w="4218"/>
        <w:gridCol w:w="3222"/>
      </w:tblGrid>
      <w:tr w:rsidR="00476412" w:rsidRPr="004269EE" w14:paraId="172C2EC8" w14:textId="486E68A5" w:rsidTr="004764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52" w:type="dxa"/>
            <w:vAlign w:val="center"/>
          </w:tcPr>
          <w:p w14:paraId="66774216" w14:textId="76E7358B" w:rsidR="00476412" w:rsidRPr="00AD4A2A" w:rsidRDefault="00476412" w:rsidP="00F53D8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Zdroj</w:t>
            </w:r>
          </w:p>
        </w:tc>
        <w:tc>
          <w:tcPr>
            <w:tcW w:w="4218" w:type="dxa"/>
            <w:vAlign w:val="center"/>
          </w:tcPr>
          <w:p w14:paraId="082F3C62" w14:textId="331B0839" w:rsidR="00476412" w:rsidRPr="00AD4A2A" w:rsidRDefault="00476412" w:rsidP="00F53D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Popis</w:t>
            </w:r>
          </w:p>
        </w:tc>
        <w:tc>
          <w:tcPr>
            <w:tcW w:w="3222" w:type="dxa"/>
          </w:tcPr>
          <w:p w14:paraId="4EB15257" w14:textId="22FE0089" w:rsidR="00476412" w:rsidRDefault="00476412" w:rsidP="00F53D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</w:t>
            </w:r>
            <w:r w:rsidRPr="00D4662B">
              <w:rPr>
                <w:rFonts w:asciiTheme="minorHAnsi" w:hAnsiTheme="minorHAnsi"/>
              </w:rPr>
              <w:t>kratka</w:t>
            </w:r>
          </w:p>
        </w:tc>
      </w:tr>
      <w:tr w:rsidR="00D4662B" w14:paraId="7F1C862D" w14:textId="03B0A9A1" w:rsidTr="00476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2" w:type="dxa"/>
            <w:vAlign w:val="center"/>
          </w:tcPr>
          <w:p w14:paraId="150B6475" w14:textId="4CF8A681" w:rsidR="00D4662B" w:rsidRPr="00AD4A2A" w:rsidRDefault="00D4662B" w:rsidP="00D4662B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D4662B">
              <w:rPr>
                <w:rFonts w:asciiTheme="minorHAnsi" w:hAnsiTheme="minorHAnsi"/>
              </w:rPr>
              <w:t>SAP REM</w:t>
            </w:r>
          </w:p>
        </w:tc>
        <w:tc>
          <w:tcPr>
            <w:tcW w:w="4218" w:type="dxa"/>
            <w:vAlign w:val="center"/>
          </w:tcPr>
          <w:p w14:paraId="17A020A3" w14:textId="77777777" w:rsidR="00D4662B" w:rsidRPr="00D4662B" w:rsidRDefault="00D4662B" w:rsidP="00D4662B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4662B">
              <w:rPr>
                <w:rFonts w:asciiTheme="minorHAnsi" w:hAnsiTheme="minorHAnsi"/>
              </w:rPr>
              <w:t xml:space="preserve">SAP Real </w:t>
            </w:r>
            <w:proofErr w:type="spellStart"/>
            <w:r w:rsidRPr="00D4662B">
              <w:rPr>
                <w:rFonts w:asciiTheme="minorHAnsi" w:hAnsiTheme="minorHAnsi"/>
              </w:rPr>
              <w:t>Estate</w:t>
            </w:r>
            <w:proofErr w:type="spellEnd"/>
            <w:r w:rsidRPr="00D4662B">
              <w:rPr>
                <w:rFonts w:asciiTheme="minorHAnsi" w:hAnsiTheme="minorHAnsi"/>
              </w:rPr>
              <w:t xml:space="preserve"> Management. Pohlíží na byty z: </w:t>
            </w:r>
          </w:p>
          <w:p w14:paraId="7510BE4A" w14:textId="4299EC5C" w:rsidR="00D4662B" w:rsidRPr="00687970" w:rsidRDefault="00D4662B" w:rsidP="00CC21AD">
            <w:pPr>
              <w:pStyle w:val="Odstavecseseznamem"/>
              <w:numPr>
                <w:ilvl w:val="0"/>
                <w:numId w:val="1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687970">
              <w:rPr>
                <w:rFonts w:asciiTheme="minorHAnsi" w:hAnsiTheme="minorHAnsi"/>
              </w:rPr>
              <w:t xml:space="preserve">Pohledu nájemních objektů </w:t>
            </w:r>
          </w:p>
          <w:p w14:paraId="7119A003" w14:textId="015A8CBD" w:rsidR="00D4662B" w:rsidRPr="00D4662B" w:rsidRDefault="00D4662B" w:rsidP="00CC21AD">
            <w:pPr>
              <w:pStyle w:val="Odstavecseseznamem"/>
              <w:numPr>
                <w:ilvl w:val="0"/>
                <w:numId w:val="1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687970">
              <w:rPr>
                <w:rFonts w:asciiTheme="minorHAnsi" w:hAnsiTheme="minorHAnsi"/>
              </w:rPr>
              <w:t>Pohledu nájemních smluv</w:t>
            </w:r>
          </w:p>
        </w:tc>
        <w:tc>
          <w:tcPr>
            <w:tcW w:w="3222" w:type="dxa"/>
          </w:tcPr>
          <w:p w14:paraId="2B6826AF" w14:textId="640288A7" w:rsidR="00D4662B" w:rsidRPr="00AD4A2A" w:rsidRDefault="008558D4" w:rsidP="00D4662B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inorHAnsi" w:hAnsiTheme="minorHAnsi"/>
              </w:rPr>
              <w:t xml:space="preserve">SAP </w:t>
            </w:r>
            <w:r w:rsidR="00D4662B" w:rsidRPr="00D4662B">
              <w:rPr>
                <w:rFonts w:asciiTheme="minorHAnsi" w:hAnsiTheme="minorHAnsi"/>
              </w:rPr>
              <w:t>REM</w:t>
            </w:r>
          </w:p>
        </w:tc>
      </w:tr>
      <w:tr w:rsidR="00D4662B" w:rsidRPr="00011CD1" w14:paraId="4E77C073" w14:textId="55A0CCF5" w:rsidTr="0047641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2" w:type="dxa"/>
            <w:vAlign w:val="center"/>
          </w:tcPr>
          <w:p w14:paraId="04546C8E" w14:textId="1C4BA9CD" w:rsidR="00D4662B" w:rsidRPr="00AD4A2A" w:rsidRDefault="00D4662B" w:rsidP="00D4662B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D4662B">
              <w:rPr>
                <w:rFonts w:asciiTheme="minorHAnsi" w:hAnsiTheme="minorHAnsi"/>
              </w:rPr>
              <w:t>SAP CO</w:t>
            </w:r>
          </w:p>
        </w:tc>
        <w:tc>
          <w:tcPr>
            <w:tcW w:w="4218" w:type="dxa"/>
            <w:vAlign w:val="center"/>
          </w:tcPr>
          <w:p w14:paraId="35D52EF8" w14:textId="1DBDDF0A" w:rsidR="00D4662B" w:rsidRPr="00AD4A2A" w:rsidRDefault="00D4662B" w:rsidP="00D4662B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4662B">
              <w:rPr>
                <w:rFonts w:asciiTheme="minorHAnsi" w:hAnsiTheme="minorHAnsi"/>
              </w:rPr>
              <w:t>SAP Controlling</w:t>
            </w:r>
          </w:p>
        </w:tc>
        <w:tc>
          <w:tcPr>
            <w:tcW w:w="3222" w:type="dxa"/>
          </w:tcPr>
          <w:p w14:paraId="14E3B47D" w14:textId="033FEC1B" w:rsidR="00D4662B" w:rsidRPr="00D4662B" w:rsidRDefault="008558D4" w:rsidP="00D4662B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SAP </w:t>
            </w:r>
            <w:r w:rsidR="00D4662B" w:rsidRPr="00D4662B">
              <w:rPr>
                <w:rFonts w:asciiTheme="minorHAnsi" w:hAnsiTheme="minorHAnsi"/>
              </w:rPr>
              <w:t>CO</w:t>
            </w:r>
          </w:p>
        </w:tc>
      </w:tr>
      <w:tr w:rsidR="00D4662B" w14:paraId="7AB2D6E8" w14:textId="7E8FDEF2" w:rsidTr="00476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2" w:type="dxa"/>
            <w:vAlign w:val="center"/>
          </w:tcPr>
          <w:p w14:paraId="631EEC3E" w14:textId="7323C61C" w:rsidR="00D4662B" w:rsidRPr="00AD4A2A" w:rsidRDefault="00D4662B" w:rsidP="00D4662B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D4662B">
              <w:rPr>
                <w:rFonts w:asciiTheme="minorHAnsi" w:hAnsiTheme="minorHAnsi"/>
              </w:rPr>
              <w:t>SAP FI</w:t>
            </w:r>
          </w:p>
        </w:tc>
        <w:tc>
          <w:tcPr>
            <w:tcW w:w="4218" w:type="dxa"/>
            <w:vAlign w:val="center"/>
          </w:tcPr>
          <w:p w14:paraId="3459F904" w14:textId="3E740E77" w:rsidR="00D4662B" w:rsidRPr="00AD4A2A" w:rsidRDefault="00D4662B" w:rsidP="00334D68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334D68">
              <w:rPr>
                <w:rFonts w:asciiTheme="minorHAnsi" w:hAnsiTheme="minorHAnsi"/>
              </w:rPr>
              <w:t>SAP Finance</w:t>
            </w:r>
          </w:p>
        </w:tc>
        <w:tc>
          <w:tcPr>
            <w:tcW w:w="3222" w:type="dxa"/>
          </w:tcPr>
          <w:p w14:paraId="7068EB50" w14:textId="74C53E39" w:rsidR="00D4662B" w:rsidRPr="00D4662B" w:rsidRDefault="008558D4" w:rsidP="00D4662B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SAP </w:t>
            </w:r>
            <w:r w:rsidR="00D4662B" w:rsidRPr="00D4662B">
              <w:rPr>
                <w:rFonts w:asciiTheme="minorHAnsi" w:hAnsiTheme="minorHAnsi"/>
              </w:rPr>
              <w:t>FI</w:t>
            </w:r>
          </w:p>
        </w:tc>
      </w:tr>
      <w:tr w:rsidR="00D4662B" w14:paraId="7DD46DC3" w14:textId="04185094" w:rsidTr="0047641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2" w:type="dxa"/>
            <w:vAlign w:val="center"/>
          </w:tcPr>
          <w:p w14:paraId="39EB74EC" w14:textId="2ECBFC62" w:rsidR="00D4662B" w:rsidRPr="00AD4A2A" w:rsidRDefault="00D4662B" w:rsidP="00D4662B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D4662B">
              <w:rPr>
                <w:rFonts w:asciiTheme="minorHAnsi" w:hAnsiTheme="minorHAnsi"/>
              </w:rPr>
              <w:t>Detail bytů</w:t>
            </w:r>
          </w:p>
        </w:tc>
        <w:tc>
          <w:tcPr>
            <w:tcW w:w="4218" w:type="dxa"/>
            <w:vAlign w:val="center"/>
          </w:tcPr>
          <w:p w14:paraId="18F15847" w14:textId="5F283F66" w:rsidR="00D4662B" w:rsidRPr="00AD4A2A" w:rsidRDefault="00D14911" w:rsidP="00334D68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Nově stanovené pa</w:t>
            </w:r>
            <w:r w:rsidR="00744076">
              <w:rPr>
                <w:rFonts w:asciiTheme="minorHAnsi" w:hAnsiTheme="minorHAnsi"/>
              </w:rPr>
              <w:t xml:space="preserve">rametry obsažené v příloze </w:t>
            </w:r>
            <w:proofErr w:type="gramStart"/>
            <w:r w:rsidR="00744076">
              <w:rPr>
                <w:rFonts w:asciiTheme="minorHAnsi" w:hAnsiTheme="minorHAnsi"/>
              </w:rPr>
              <w:t>č.1 zadání</w:t>
            </w:r>
            <w:proofErr w:type="gramEnd"/>
            <w:r w:rsidR="00744076">
              <w:rPr>
                <w:rFonts w:asciiTheme="minorHAnsi" w:hAnsiTheme="minorHAnsi"/>
              </w:rPr>
              <w:t>, datové zdroje</w:t>
            </w:r>
            <w:r>
              <w:rPr>
                <w:rFonts w:asciiTheme="minorHAnsi" w:hAnsiTheme="minorHAnsi"/>
              </w:rPr>
              <w:t xml:space="preserve"> budou nově implementovány do SAP</w:t>
            </w:r>
          </w:p>
        </w:tc>
        <w:tc>
          <w:tcPr>
            <w:tcW w:w="3222" w:type="dxa"/>
          </w:tcPr>
          <w:p w14:paraId="33D802A0" w14:textId="467AF9A4" w:rsidR="00D4662B" w:rsidRPr="00D4662B" w:rsidRDefault="00E7119E" w:rsidP="00D4662B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Nový parametr</w:t>
            </w:r>
          </w:p>
        </w:tc>
      </w:tr>
    </w:tbl>
    <w:p w14:paraId="477F5FBE" w14:textId="48FB76E6" w:rsidR="00476412" w:rsidRDefault="00476412" w:rsidP="00C17E3E">
      <w:pPr>
        <w:jc w:val="both"/>
        <w:rPr>
          <w:sz w:val="20"/>
          <w:szCs w:val="20"/>
        </w:rPr>
      </w:pPr>
    </w:p>
    <w:p w14:paraId="6D5C3C1B" w14:textId="35D55FA5" w:rsidR="00334D68" w:rsidRDefault="00334D68" w:rsidP="00687970">
      <w:pPr>
        <w:spacing w:before="120"/>
        <w:jc w:val="both"/>
      </w:pPr>
      <w:r>
        <w:rPr>
          <w:sz w:val="20"/>
          <w:szCs w:val="20"/>
        </w:rPr>
        <w:t xml:space="preserve">V reportech je požadováno, </w:t>
      </w:r>
      <w:r w:rsidRPr="00334D68">
        <w:rPr>
          <w:sz w:val="20"/>
          <w:szCs w:val="20"/>
        </w:rPr>
        <w:t>aby data pocház</w:t>
      </w:r>
      <w:r w:rsidR="0045602E">
        <w:rPr>
          <w:sz w:val="20"/>
          <w:szCs w:val="20"/>
        </w:rPr>
        <w:t>ející z datového zdroje SAP byla v Reportu aktualizována</w:t>
      </w:r>
      <w:r w:rsidRPr="00334D68">
        <w:rPr>
          <w:sz w:val="20"/>
          <w:szCs w:val="20"/>
        </w:rPr>
        <w:t xml:space="preserve"> denně (v online režimu či na základě pravidelných </w:t>
      </w:r>
      <w:proofErr w:type="spellStart"/>
      <w:r w:rsidRPr="00334D68">
        <w:rPr>
          <w:sz w:val="20"/>
          <w:szCs w:val="20"/>
        </w:rPr>
        <w:t>loadů</w:t>
      </w:r>
      <w:proofErr w:type="spellEnd"/>
      <w:r w:rsidRPr="00334D68">
        <w:rPr>
          <w:sz w:val="20"/>
          <w:szCs w:val="20"/>
        </w:rPr>
        <w:t xml:space="preserve"> na denní bázi).</w:t>
      </w:r>
      <w:r w:rsidR="00525D6B">
        <w:rPr>
          <w:sz w:val="20"/>
          <w:szCs w:val="20"/>
        </w:rPr>
        <w:t xml:space="preserve"> Cílem je zavedení všech nových p</w:t>
      </w:r>
      <w:r w:rsidR="008558D4">
        <w:rPr>
          <w:sz w:val="20"/>
          <w:szCs w:val="20"/>
        </w:rPr>
        <w:t xml:space="preserve">arametrů do datové základny SAP </w:t>
      </w:r>
      <w:r w:rsidR="00525D6B">
        <w:rPr>
          <w:sz w:val="20"/>
          <w:szCs w:val="20"/>
        </w:rPr>
        <w:t>REM.</w:t>
      </w:r>
      <w:r w:rsidRPr="00334D68">
        <w:rPr>
          <w:sz w:val="20"/>
          <w:szCs w:val="20"/>
        </w:rPr>
        <w:t xml:space="preserve"> </w:t>
      </w:r>
      <w:r w:rsidR="00525D6B">
        <w:rPr>
          <w:sz w:val="20"/>
          <w:szCs w:val="20"/>
        </w:rPr>
        <w:t xml:space="preserve"> V případě, že by v rámci implementace došlo k závažným problémům neumožňující implementaci </w:t>
      </w:r>
      <w:r w:rsidR="00744076">
        <w:rPr>
          <w:sz w:val="20"/>
          <w:szCs w:val="20"/>
        </w:rPr>
        <w:t xml:space="preserve">některých z nově požadovaných </w:t>
      </w:r>
      <w:r w:rsidR="0045602E">
        <w:rPr>
          <w:sz w:val="20"/>
          <w:szCs w:val="20"/>
        </w:rPr>
        <w:t>parametrů do SAP REM, budou ta</w:t>
      </w:r>
      <w:r w:rsidR="00525D6B">
        <w:rPr>
          <w:sz w:val="20"/>
          <w:szCs w:val="20"/>
        </w:rPr>
        <w:t>to d</w:t>
      </w:r>
      <w:r w:rsidRPr="00334D68">
        <w:rPr>
          <w:sz w:val="20"/>
          <w:szCs w:val="20"/>
        </w:rPr>
        <w:t xml:space="preserve">ata pocházející mimo datový zdroj SAP </w:t>
      </w:r>
      <w:r w:rsidR="0045602E">
        <w:rPr>
          <w:sz w:val="20"/>
          <w:szCs w:val="20"/>
        </w:rPr>
        <w:t>aktualizována</w:t>
      </w:r>
      <w:r w:rsidRPr="00334D68">
        <w:rPr>
          <w:sz w:val="20"/>
          <w:szCs w:val="20"/>
        </w:rPr>
        <w:t xml:space="preserve"> v Reportu jednou měsíčně.</w:t>
      </w:r>
      <w:r>
        <w:t xml:space="preserve"> </w:t>
      </w:r>
    </w:p>
    <w:p w14:paraId="1CFA86FF" w14:textId="77777777" w:rsidR="008558D4" w:rsidRPr="00B41615" w:rsidRDefault="008558D4" w:rsidP="00334D68">
      <w:pPr>
        <w:spacing w:before="120"/>
      </w:pPr>
    </w:p>
    <w:p w14:paraId="720D3CA7" w14:textId="1B167945" w:rsidR="00334D68" w:rsidRPr="00334D68" w:rsidRDefault="00334D68" w:rsidP="002B0025">
      <w:pPr>
        <w:pStyle w:val="Odstavecseseznamem"/>
        <w:numPr>
          <w:ilvl w:val="1"/>
          <w:numId w:val="18"/>
        </w:numPr>
        <w:jc w:val="both"/>
        <w:rPr>
          <w:b/>
          <w:sz w:val="20"/>
          <w:szCs w:val="20"/>
        </w:rPr>
      </w:pPr>
      <w:r w:rsidRPr="00334D68">
        <w:rPr>
          <w:b/>
          <w:sz w:val="20"/>
          <w:szCs w:val="20"/>
        </w:rPr>
        <w:t>Filtrování</w:t>
      </w:r>
    </w:p>
    <w:p w14:paraId="08D04F19" w14:textId="2F840CEB" w:rsidR="00334D68" w:rsidRDefault="00334D68" w:rsidP="00687970">
      <w:pPr>
        <w:spacing w:before="120"/>
        <w:jc w:val="both"/>
        <w:rPr>
          <w:sz w:val="20"/>
          <w:szCs w:val="20"/>
        </w:rPr>
      </w:pPr>
      <w:r w:rsidRPr="00334D68">
        <w:rPr>
          <w:sz w:val="20"/>
          <w:szCs w:val="20"/>
        </w:rPr>
        <w:t>Jednotlivé filtry jsou ve všech případech vzájemně ovlivněny a propojeny (</w:t>
      </w:r>
      <w:proofErr w:type="gramStart"/>
      <w:r w:rsidRPr="00334D68">
        <w:rPr>
          <w:sz w:val="20"/>
          <w:szCs w:val="20"/>
        </w:rPr>
        <w:t>tzn.</w:t>
      </w:r>
      <w:proofErr w:type="gramEnd"/>
      <w:r w:rsidRPr="00334D68">
        <w:rPr>
          <w:sz w:val="20"/>
          <w:szCs w:val="20"/>
        </w:rPr>
        <w:t xml:space="preserve"> v případě volby konkrétního o</w:t>
      </w:r>
      <w:r w:rsidR="00687970">
        <w:rPr>
          <w:sz w:val="20"/>
          <w:szCs w:val="20"/>
        </w:rPr>
        <w:t>blastního ředitelství se</w:t>
      </w:r>
      <w:r w:rsidRPr="00334D68">
        <w:rPr>
          <w:sz w:val="20"/>
          <w:szCs w:val="20"/>
        </w:rPr>
        <w:t xml:space="preserve"> ve filtru železniční stanice</w:t>
      </w:r>
      <w:r w:rsidR="00687970">
        <w:rPr>
          <w:sz w:val="20"/>
          <w:szCs w:val="20"/>
        </w:rPr>
        <w:t xml:space="preserve"> </w:t>
      </w:r>
      <w:proofErr w:type="gramStart"/>
      <w:r w:rsidR="00687970">
        <w:rPr>
          <w:sz w:val="20"/>
          <w:szCs w:val="20"/>
        </w:rPr>
        <w:t>zobrazí</w:t>
      </w:r>
      <w:proofErr w:type="gramEnd"/>
      <w:r w:rsidRPr="00334D68">
        <w:rPr>
          <w:sz w:val="20"/>
          <w:szCs w:val="20"/>
        </w:rPr>
        <w:t xml:space="preserve"> pouze stanice spadající do daného oblastního ředitelství apod.).</w:t>
      </w:r>
      <w:r>
        <w:rPr>
          <w:sz w:val="20"/>
          <w:szCs w:val="20"/>
        </w:rPr>
        <w:t xml:space="preserve"> </w:t>
      </w:r>
    </w:p>
    <w:p w14:paraId="51A95D94" w14:textId="73A43F66" w:rsidR="00334D68" w:rsidRDefault="00334D68" w:rsidP="00334D68">
      <w:pPr>
        <w:spacing w:before="120"/>
        <w:rPr>
          <w:b/>
          <w:sz w:val="20"/>
          <w:szCs w:val="20"/>
        </w:rPr>
      </w:pPr>
      <w:r w:rsidRPr="00334D68">
        <w:rPr>
          <w:b/>
          <w:sz w:val="20"/>
          <w:szCs w:val="20"/>
        </w:rPr>
        <w:t>Nastavení filtrů pro report 2A:</w:t>
      </w:r>
    </w:p>
    <w:p w14:paraId="7F2112DA" w14:textId="567C5307" w:rsidR="00334D68" w:rsidRDefault="00334D68" w:rsidP="00334D68">
      <w:pPr>
        <w:spacing w:before="120"/>
        <w:rPr>
          <w:b/>
          <w:sz w:val="20"/>
          <w:szCs w:val="20"/>
        </w:rPr>
      </w:pPr>
      <w:r>
        <w:rPr>
          <w:b/>
          <w:sz w:val="20"/>
          <w:szCs w:val="20"/>
        </w:rPr>
        <w:t>Níže uvedené filtry platí pro všechny obrazovky Reportu 2A.</w:t>
      </w:r>
    </w:p>
    <w:tbl>
      <w:tblPr>
        <w:tblStyle w:val="Mkatabulky"/>
        <w:tblW w:w="0" w:type="auto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36"/>
        <w:gridCol w:w="5691"/>
        <w:gridCol w:w="1365"/>
      </w:tblGrid>
      <w:tr w:rsidR="00A00D52" w:rsidRPr="00F80772" w14:paraId="69C6C0C8" w14:textId="77777777" w:rsidTr="00A00D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shd w:val="clear" w:color="auto" w:fill="002060"/>
            <w:vAlign w:val="center"/>
          </w:tcPr>
          <w:p w14:paraId="3C561E4E" w14:textId="764209EA" w:rsidR="00A00D52" w:rsidRPr="00A00D52" w:rsidRDefault="00A54FAF" w:rsidP="00A00D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Filtr</w:t>
            </w:r>
          </w:p>
        </w:tc>
        <w:tc>
          <w:tcPr>
            <w:tcW w:w="5691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</w:tcBorders>
            <w:shd w:val="clear" w:color="auto" w:fill="002060"/>
            <w:vAlign w:val="center"/>
          </w:tcPr>
          <w:p w14:paraId="4ED56C5A" w14:textId="0B54DE45" w:rsidR="00A00D52" w:rsidRPr="00A00D52" w:rsidRDefault="00A00D52" w:rsidP="00A00D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A00D52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365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shd w:val="clear" w:color="auto" w:fill="002060"/>
          </w:tcPr>
          <w:p w14:paraId="6CAAA69D" w14:textId="51DFB782" w:rsidR="00A00D52" w:rsidRPr="00A00D52" w:rsidRDefault="00A00D52" w:rsidP="00A00D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A00D52">
              <w:rPr>
                <w:b/>
                <w:sz w:val="20"/>
                <w:szCs w:val="20"/>
              </w:rPr>
              <w:t>Zkratka</w:t>
            </w:r>
          </w:p>
        </w:tc>
      </w:tr>
      <w:tr w:rsidR="00A00D52" w:rsidRPr="00F80772" w14:paraId="4CCAE772" w14:textId="77777777" w:rsidTr="00F53D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vAlign w:val="center"/>
          </w:tcPr>
          <w:p w14:paraId="0962979F" w14:textId="615BFF4C" w:rsidR="00A00D52" w:rsidRPr="00E62E73" w:rsidRDefault="00A00D52" w:rsidP="00A00D52">
            <w:pPr>
              <w:rPr>
                <w:b/>
                <w:bCs/>
                <w:color w:val="FFFFFF" w:themeColor="background1"/>
              </w:rPr>
            </w:pPr>
            <w:r w:rsidRPr="00E62E73">
              <w:rPr>
                <w:b/>
                <w:bCs/>
                <w:sz w:val="20"/>
                <w:szCs w:val="20"/>
              </w:rPr>
              <w:t>Oblastní ředitelství</w:t>
            </w:r>
          </w:p>
        </w:tc>
        <w:tc>
          <w:tcPr>
            <w:tcW w:w="5691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</w:tcBorders>
            <w:vAlign w:val="center"/>
          </w:tcPr>
          <w:p w14:paraId="265F6C0E" w14:textId="06293797" w:rsidR="00A00D52" w:rsidRPr="00E62E73" w:rsidRDefault="00A00D52" w:rsidP="00A00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E62E73">
              <w:rPr>
                <w:sz w:val="20"/>
                <w:szCs w:val="20"/>
              </w:rPr>
              <w:t xml:space="preserve">Oblastní ředitelství jsou organizační jednotky, které spravují majetek Správy železnic včetně bytů. </w:t>
            </w:r>
            <w:r>
              <w:rPr>
                <w:sz w:val="20"/>
                <w:szCs w:val="20"/>
              </w:rPr>
              <w:t>Pozn. Již implementováno v rámci reportingu budov</w:t>
            </w:r>
          </w:p>
        </w:tc>
        <w:tc>
          <w:tcPr>
            <w:tcW w:w="1365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</w:tcPr>
          <w:p w14:paraId="35C11EE4" w14:textId="4CB12769" w:rsidR="00A00D52" w:rsidRPr="00E62E73" w:rsidRDefault="00A00D52" w:rsidP="00A00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sz w:val="20"/>
                <w:szCs w:val="20"/>
              </w:rPr>
              <w:t xml:space="preserve">SAP </w:t>
            </w:r>
            <w:r w:rsidRPr="00E62E73">
              <w:rPr>
                <w:sz w:val="20"/>
                <w:szCs w:val="20"/>
              </w:rPr>
              <w:t>REM</w:t>
            </w:r>
          </w:p>
        </w:tc>
      </w:tr>
      <w:tr w:rsidR="00A00D52" w14:paraId="0C448471" w14:textId="77777777" w:rsidTr="00E62E7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vAlign w:val="center"/>
          </w:tcPr>
          <w:p w14:paraId="1F1DD95B" w14:textId="6B3AE1EE" w:rsidR="00A00D52" w:rsidRPr="00E62E73" w:rsidRDefault="00A00D52" w:rsidP="00A00D52">
            <w:pPr>
              <w:spacing w:after="240" w:line="264" w:lineRule="auto"/>
              <w:jc w:val="both"/>
              <w:rPr>
                <w:b/>
                <w:bCs/>
                <w:sz w:val="20"/>
                <w:szCs w:val="20"/>
              </w:rPr>
            </w:pPr>
            <w:r w:rsidRPr="00E62E73">
              <w:rPr>
                <w:b/>
                <w:bCs/>
                <w:sz w:val="20"/>
                <w:szCs w:val="20"/>
              </w:rPr>
              <w:t>Kraj</w:t>
            </w:r>
          </w:p>
        </w:tc>
        <w:tc>
          <w:tcPr>
            <w:tcW w:w="5691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</w:tcBorders>
            <w:vAlign w:val="center"/>
          </w:tcPr>
          <w:p w14:paraId="6B702CE8" w14:textId="77777777" w:rsidR="00A00D52" w:rsidRDefault="00A00D52" w:rsidP="00A00D52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62E73">
              <w:rPr>
                <w:sz w:val="20"/>
                <w:szCs w:val="20"/>
              </w:rPr>
              <w:t>Filtr upravující výběr dle krajů ČR (odpovídá hospodářským jednotkám SŽ).</w:t>
            </w:r>
            <w:r>
              <w:t xml:space="preserve"> </w:t>
            </w:r>
            <w:r>
              <w:rPr>
                <w:sz w:val="20"/>
                <w:szCs w:val="20"/>
              </w:rPr>
              <w:t>Pozn.</w:t>
            </w:r>
          </w:p>
          <w:p w14:paraId="572842D6" w14:textId="29EFB143" w:rsidR="00A00D52" w:rsidRPr="00E62E73" w:rsidRDefault="00A00D52" w:rsidP="00A00D52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Již implementováno v rámci reportingu budov</w:t>
            </w:r>
          </w:p>
        </w:tc>
        <w:tc>
          <w:tcPr>
            <w:tcW w:w="1365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</w:tcPr>
          <w:p w14:paraId="3E98F039" w14:textId="02954E62" w:rsidR="00A00D52" w:rsidRPr="00E62E73" w:rsidRDefault="00A00D52" w:rsidP="00A00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SAP </w:t>
            </w:r>
            <w:r w:rsidRPr="00E62E73">
              <w:rPr>
                <w:sz w:val="20"/>
                <w:szCs w:val="20"/>
              </w:rPr>
              <w:t>REM</w:t>
            </w:r>
          </w:p>
        </w:tc>
      </w:tr>
      <w:tr w:rsidR="00A00D52" w14:paraId="228108AA" w14:textId="77777777" w:rsidTr="00F53D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vAlign w:val="center"/>
          </w:tcPr>
          <w:p w14:paraId="3B998C56" w14:textId="19E81AE7" w:rsidR="00A00D52" w:rsidRPr="00E62E73" w:rsidRDefault="00A00D52" w:rsidP="00A00D52">
            <w:pPr>
              <w:spacing w:after="240" w:line="264" w:lineRule="auto"/>
              <w:jc w:val="both"/>
              <w:rPr>
                <w:b/>
                <w:bCs/>
              </w:rPr>
            </w:pPr>
            <w:r w:rsidRPr="00E62E73">
              <w:rPr>
                <w:b/>
                <w:bCs/>
                <w:sz w:val="20"/>
                <w:szCs w:val="20"/>
              </w:rPr>
              <w:t>Železniční stanice (SR70)</w:t>
            </w:r>
          </w:p>
        </w:tc>
        <w:tc>
          <w:tcPr>
            <w:tcW w:w="5691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</w:tcBorders>
            <w:vAlign w:val="center"/>
          </w:tcPr>
          <w:p w14:paraId="2A25C44B" w14:textId="77777777" w:rsidR="00A00D52" w:rsidRDefault="00A00D52" w:rsidP="00A00D52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2E73">
              <w:rPr>
                <w:sz w:val="20"/>
                <w:szCs w:val="20"/>
              </w:rPr>
              <w:t>Filtr umožňující výběr konkrétní železniční stanice ve správě SŽ. Filtr zobrazuje názvy jednotlivých železničních stanic.</w:t>
            </w:r>
            <w:r>
              <w:t xml:space="preserve"> </w:t>
            </w:r>
          </w:p>
          <w:p w14:paraId="0CA99C4E" w14:textId="265FD7D4" w:rsidR="00A00D52" w:rsidRDefault="00A00D52" w:rsidP="00A00D52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Pozn. Již implementováno v rámci reportingu budov</w:t>
            </w:r>
          </w:p>
        </w:tc>
        <w:tc>
          <w:tcPr>
            <w:tcW w:w="1365" w:type="dxa"/>
            <w:tcBorders>
              <w:top w:val="single" w:sz="4" w:space="0" w:color="75787B"/>
              <w:left w:val="single" w:sz="4" w:space="0" w:color="75787B"/>
              <w:bottom w:val="single" w:sz="4" w:space="0" w:color="auto"/>
              <w:right w:val="single" w:sz="4" w:space="0" w:color="75787B"/>
            </w:tcBorders>
          </w:tcPr>
          <w:p w14:paraId="61DE26BD" w14:textId="32D46313" w:rsidR="00A00D52" w:rsidRDefault="00A00D52" w:rsidP="00A00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 xml:space="preserve">SAP </w:t>
            </w:r>
            <w:r w:rsidRPr="00E62E73">
              <w:rPr>
                <w:sz w:val="20"/>
                <w:szCs w:val="20"/>
              </w:rPr>
              <w:t>REM</w:t>
            </w:r>
          </w:p>
        </w:tc>
      </w:tr>
      <w:tr w:rsidR="00A00D52" w14:paraId="25295204" w14:textId="77777777" w:rsidTr="00F53D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vAlign w:val="center"/>
          </w:tcPr>
          <w:p w14:paraId="4B3619BB" w14:textId="3C57E39A" w:rsidR="00A00D52" w:rsidRPr="00E62E73" w:rsidRDefault="00A00D52" w:rsidP="00A00D52">
            <w:pPr>
              <w:spacing w:after="240" w:line="264" w:lineRule="auto"/>
              <w:jc w:val="both"/>
              <w:rPr>
                <w:b/>
                <w:bCs/>
              </w:rPr>
            </w:pPr>
            <w:r w:rsidRPr="00E62E73">
              <w:rPr>
                <w:b/>
                <w:bCs/>
                <w:sz w:val="20"/>
                <w:szCs w:val="20"/>
              </w:rPr>
              <w:t>Typ budovy</w:t>
            </w:r>
          </w:p>
        </w:tc>
        <w:tc>
          <w:tcPr>
            <w:tcW w:w="5691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</w:tcBorders>
            <w:vAlign w:val="center"/>
          </w:tcPr>
          <w:p w14:paraId="1717AC47" w14:textId="77777777" w:rsidR="00A00D52" w:rsidRDefault="00A00D52" w:rsidP="00A00D52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E62E73">
              <w:rPr>
                <w:sz w:val="20"/>
                <w:szCs w:val="20"/>
              </w:rPr>
              <w:t>Filtr umožňující zvolit pro zobrazení konkrétní typ nebo typy budovy z hlediska potřeb drážní dopravy.</w:t>
            </w:r>
            <w:r w:rsidRPr="00F966BD">
              <w:rPr>
                <w:color w:val="FF0000"/>
              </w:rPr>
              <w:t xml:space="preserve"> </w:t>
            </w:r>
          </w:p>
          <w:p w14:paraId="7585E8B5" w14:textId="0A0E954B" w:rsidR="00A00D52" w:rsidRDefault="00A00D52" w:rsidP="00A00D52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Pozn. Již implementováno v rámci reportingu budov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75787B"/>
              <w:bottom w:val="single" w:sz="4" w:space="0" w:color="75787B"/>
              <w:right w:val="single" w:sz="4" w:space="0" w:color="75787B"/>
            </w:tcBorders>
          </w:tcPr>
          <w:p w14:paraId="2D3D566D" w14:textId="47DE9E99" w:rsidR="00A00D52" w:rsidRDefault="00A00D52" w:rsidP="00A00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 xml:space="preserve">SAP </w:t>
            </w:r>
            <w:r w:rsidRPr="00E62E73">
              <w:rPr>
                <w:sz w:val="20"/>
                <w:szCs w:val="20"/>
              </w:rPr>
              <w:t>REM</w:t>
            </w:r>
          </w:p>
        </w:tc>
      </w:tr>
      <w:tr w:rsidR="00A00D52" w14:paraId="0E3ACE16" w14:textId="77777777" w:rsidTr="00F53D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vAlign w:val="center"/>
          </w:tcPr>
          <w:p w14:paraId="3D3C22B1" w14:textId="2D8C05F9" w:rsidR="00A00D52" w:rsidRPr="00E62E73" w:rsidRDefault="00A00D52" w:rsidP="00A00D52">
            <w:pPr>
              <w:spacing w:after="240" w:line="264" w:lineRule="auto"/>
              <w:jc w:val="both"/>
              <w:rPr>
                <w:b/>
                <w:bCs/>
              </w:rPr>
            </w:pPr>
            <w:r w:rsidRPr="00E62E73">
              <w:rPr>
                <w:b/>
                <w:bCs/>
                <w:sz w:val="20"/>
                <w:szCs w:val="20"/>
              </w:rPr>
              <w:t>Typ bytu</w:t>
            </w:r>
          </w:p>
        </w:tc>
        <w:tc>
          <w:tcPr>
            <w:tcW w:w="5691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</w:tcBorders>
            <w:vAlign w:val="center"/>
          </w:tcPr>
          <w:p w14:paraId="4A7F37AE" w14:textId="77777777" w:rsidR="00A00D52" w:rsidRPr="00E62E73" w:rsidRDefault="00A00D52" w:rsidP="00A00D52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62E73">
              <w:rPr>
                <w:sz w:val="20"/>
                <w:szCs w:val="20"/>
              </w:rPr>
              <w:t xml:space="preserve">Filtr rozřazuje bytový fond na tři kategorie: </w:t>
            </w:r>
          </w:p>
          <w:p w14:paraId="0D87EBF3" w14:textId="77777777" w:rsidR="00A00D52" w:rsidRPr="00E62E73" w:rsidRDefault="00A00D52" w:rsidP="00A00D52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62E73">
              <w:rPr>
                <w:sz w:val="20"/>
                <w:szCs w:val="20"/>
              </w:rPr>
              <w:t>Byty standardní</w:t>
            </w:r>
          </w:p>
          <w:p w14:paraId="327385AC" w14:textId="3CF5CD1A" w:rsidR="00A00D52" w:rsidRDefault="00A00D52" w:rsidP="00A00D52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62E73">
              <w:rPr>
                <w:sz w:val="20"/>
                <w:szCs w:val="20"/>
              </w:rPr>
              <w:t>Byty pobídkové</w:t>
            </w:r>
          </w:p>
          <w:p w14:paraId="3CCA24BB" w14:textId="1CC291C8" w:rsidR="00C35625" w:rsidRPr="00E62E73" w:rsidRDefault="00C35625" w:rsidP="00A00D52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Byty </w:t>
            </w:r>
            <w:proofErr w:type="spellStart"/>
            <w:r>
              <w:rPr>
                <w:sz w:val="20"/>
                <w:szCs w:val="20"/>
              </w:rPr>
              <w:t>zasmluvněné</w:t>
            </w:r>
            <w:proofErr w:type="spellEnd"/>
            <w:r>
              <w:rPr>
                <w:sz w:val="20"/>
                <w:szCs w:val="20"/>
              </w:rPr>
              <w:t xml:space="preserve"> ve zvláštním režimu</w:t>
            </w:r>
          </w:p>
          <w:p w14:paraId="470BC5D4" w14:textId="5AD28006" w:rsidR="00A00D52" w:rsidRPr="00F966BD" w:rsidRDefault="00A00D52" w:rsidP="00C35625">
            <w:pPr>
              <w:pStyle w:val="Odstavecseseznamem"/>
              <w:ind w:left="6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5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</w:tcPr>
          <w:p w14:paraId="29B13494" w14:textId="687AA206" w:rsidR="00A00D52" w:rsidRDefault="00A00D52" w:rsidP="00A00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 xml:space="preserve">SAP </w:t>
            </w:r>
            <w:r w:rsidRPr="00E62E73">
              <w:rPr>
                <w:sz w:val="20"/>
                <w:szCs w:val="20"/>
              </w:rPr>
              <w:t>REM</w:t>
            </w:r>
          </w:p>
        </w:tc>
      </w:tr>
      <w:tr w:rsidR="00A00D52" w14:paraId="081C4995" w14:textId="77777777" w:rsidTr="00E62E7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vAlign w:val="center"/>
          </w:tcPr>
          <w:p w14:paraId="0100DDF0" w14:textId="0459E26F" w:rsidR="00A00D52" w:rsidRPr="00E62E73" w:rsidRDefault="00A00D52" w:rsidP="00A00D52">
            <w:pPr>
              <w:spacing w:after="240" w:line="264" w:lineRule="auto"/>
              <w:jc w:val="both"/>
              <w:rPr>
                <w:b/>
                <w:bCs/>
              </w:rPr>
            </w:pPr>
            <w:r w:rsidRPr="00D62A02">
              <w:rPr>
                <w:b/>
                <w:bCs/>
                <w:sz w:val="20"/>
                <w:szCs w:val="20"/>
              </w:rPr>
              <w:t>Velikost bytu</w:t>
            </w:r>
          </w:p>
        </w:tc>
        <w:tc>
          <w:tcPr>
            <w:tcW w:w="5691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</w:tcBorders>
            <w:vAlign w:val="center"/>
          </w:tcPr>
          <w:p w14:paraId="32626E37" w14:textId="77777777" w:rsidR="00A00D52" w:rsidRPr="00D62A02" w:rsidRDefault="00A00D52" w:rsidP="00A00D52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2A02">
              <w:rPr>
                <w:sz w:val="20"/>
                <w:szCs w:val="20"/>
              </w:rPr>
              <w:t xml:space="preserve">Filtr rozřazuje bytový fond na do kategorií dle celkové výměry bytu v m2: </w:t>
            </w:r>
          </w:p>
          <w:p w14:paraId="052B1444" w14:textId="77777777" w:rsidR="00A00D52" w:rsidRPr="00D62A02" w:rsidRDefault="00A00D52" w:rsidP="00A00D52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2A02">
              <w:rPr>
                <w:sz w:val="20"/>
                <w:szCs w:val="20"/>
              </w:rPr>
              <w:t>0-20 m2</w:t>
            </w:r>
          </w:p>
          <w:p w14:paraId="60B537D6" w14:textId="77777777" w:rsidR="00A00D52" w:rsidRPr="00D62A02" w:rsidRDefault="00A00D52" w:rsidP="00A00D52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2A02">
              <w:rPr>
                <w:sz w:val="20"/>
                <w:szCs w:val="20"/>
              </w:rPr>
              <w:t>20-40 m2</w:t>
            </w:r>
          </w:p>
          <w:p w14:paraId="232C035B" w14:textId="77777777" w:rsidR="00A00D52" w:rsidRPr="00D62A02" w:rsidRDefault="00A00D52" w:rsidP="00A00D52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2A02">
              <w:rPr>
                <w:sz w:val="20"/>
                <w:szCs w:val="20"/>
              </w:rPr>
              <w:t>60-80 m2</w:t>
            </w:r>
          </w:p>
          <w:p w14:paraId="6A898223" w14:textId="77777777" w:rsidR="00A00D52" w:rsidRPr="00D62A02" w:rsidRDefault="00A00D52" w:rsidP="00A00D52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2A02">
              <w:rPr>
                <w:sz w:val="20"/>
                <w:szCs w:val="20"/>
              </w:rPr>
              <w:t>80-100 m2</w:t>
            </w:r>
          </w:p>
          <w:p w14:paraId="6CA3D3CA" w14:textId="3362237F" w:rsidR="00A00D52" w:rsidRDefault="00A00D52" w:rsidP="00A00D52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7119E">
              <w:rPr>
                <w:sz w:val="20"/>
                <w:szCs w:val="20"/>
              </w:rPr>
              <w:t>Více jak 100 m2</w:t>
            </w:r>
          </w:p>
          <w:p w14:paraId="56F89155" w14:textId="77777777" w:rsidR="00C35625" w:rsidRPr="00E7119E" w:rsidRDefault="00C35625" w:rsidP="00C35625">
            <w:pPr>
              <w:pStyle w:val="Odstavecseseznamem"/>
              <w:ind w:left="6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19E2A83" w14:textId="4F837FB0" w:rsidR="00A00D52" w:rsidRPr="00D673D0" w:rsidRDefault="00A00D52" w:rsidP="00A00D52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73D0">
              <w:rPr>
                <w:sz w:val="20"/>
                <w:szCs w:val="20"/>
              </w:rPr>
              <w:t>Pozn. Předpokladem je vytvoření nového atributu na úrovni reporting</w:t>
            </w:r>
            <w:r>
              <w:rPr>
                <w:sz w:val="20"/>
                <w:szCs w:val="20"/>
              </w:rPr>
              <w:t>u vycházející z</w:t>
            </w:r>
            <w:r w:rsidR="00CC602E">
              <w:rPr>
                <w:sz w:val="20"/>
                <w:szCs w:val="20"/>
              </w:rPr>
              <w:t xml:space="preserve"> již udržovaného </w:t>
            </w:r>
            <w:r>
              <w:rPr>
                <w:sz w:val="20"/>
                <w:szCs w:val="20"/>
              </w:rPr>
              <w:t>údaje o velikosti bytu v SAP REM</w:t>
            </w:r>
          </w:p>
        </w:tc>
        <w:tc>
          <w:tcPr>
            <w:tcW w:w="1365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</w:tcPr>
          <w:p w14:paraId="0BD1BBBF" w14:textId="27C8BB80" w:rsidR="00A00D52" w:rsidRDefault="00A00D52" w:rsidP="00A00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 xml:space="preserve">SAP </w:t>
            </w:r>
            <w:r w:rsidRPr="007B16BA">
              <w:rPr>
                <w:sz w:val="20"/>
                <w:szCs w:val="20"/>
              </w:rPr>
              <w:t>REM</w:t>
            </w:r>
          </w:p>
        </w:tc>
      </w:tr>
      <w:tr w:rsidR="00A00D52" w14:paraId="47B3FA8E" w14:textId="77777777" w:rsidTr="00D62A02">
        <w:trPr>
          <w:trHeight w:val="2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vAlign w:val="center"/>
          </w:tcPr>
          <w:p w14:paraId="403F9FA3" w14:textId="3A5019FD" w:rsidR="00A00D52" w:rsidRPr="00E62E73" w:rsidRDefault="00A00D52" w:rsidP="00A00D52">
            <w:pPr>
              <w:spacing w:after="240" w:line="264" w:lineRule="auto"/>
              <w:jc w:val="both"/>
              <w:rPr>
                <w:b/>
                <w:bCs/>
              </w:rPr>
            </w:pPr>
            <w:r w:rsidRPr="00D62A02">
              <w:rPr>
                <w:b/>
                <w:bCs/>
                <w:sz w:val="20"/>
                <w:szCs w:val="20"/>
              </w:rPr>
              <w:t>Kvalita bytu</w:t>
            </w:r>
          </w:p>
        </w:tc>
        <w:tc>
          <w:tcPr>
            <w:tcW w:w="5691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</w:tcBorders>
            <w:vAlign w:val="center"/>
          </w:tcPr>
          <w:p w14:paraId="167ADFB8" w14:textId="77777777" w:rsidR="00A00D52" w:rsidRPr="00D62A02" w:rsidRDefault="00A00D52" w:rsidP="00A00D52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2A02">
              <w:rPr>
                <w:sz w:val="20"/>
                <w:szCs w:val="20"/>
              </w:rPr>
              <w:t xml:space="preserve">Filtr rozřazuje bytový fond </w:t>
            </w:r>
            <w:proofErr w:type="gramStart"/>
            <w:r w:rsidRPr="00D62A02">
              <w:rPr>
                <w:sz w:val="20"/>
                <w:szCs w:val="20"/>
              </w:rPr>
              <w:t>na</w:t>
            </w:r>
            <w:proofErr w:type="gramEnd"/>
            <w:r w:rsidRPr="00D62A02">
              <w:rPr>
                <w:sz w:val="20"/>
                <w:szCs w:val="20"/>
              </w:rPr>
              <w:t xml:space="preserve"> do dvou kategorií: </w:t>
            </w:r>
          </w:p>
          <w:p w14:paraId="02E55D68" w14:textId="77777777" w:rsidR="00A00D52" w:rsidRPr="00D62A02" w:rsidRDefault="00A00D52" w:rsidP="00A00D52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2A02">
              <w:rPr>
                <w:sz w:val="20"/>
                <w:szCs w:val="20"/>
              </w:rPr>
              <w:t>Byty s nesníženou kvalitou („Nesnížená kvalita“)</w:t>
            </w:r>
          </w:p>
          <w:p w14:paraId="43635A9D" w14:textId="343CFDCD" w:rsidR="00A00D52" w:rsidRPr="00BD38FB" w:rsidRDefault="00A00D52" w:rsidP="00A00D52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2A02">
              <w:rPr>
                <w:sz w:val="20"/>
                <w:szCs w:val="20"/>
              </w:rPr>
              <w:t>Byty se sníženou kvalitou („Snížená kvalita“)</w:t>
            </w:r>
          </w:p>
        </w:tc>
        <w:tc>
          <w:tcPr>
            <w:tcW w:w="1365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</w:tcPr>
          <w:p w14:paraId="55981D97" w14:textId="0C88CBC2" w:rsidR="00A00D52" w:rsidRDefault="00A00D52" w:rsidP="00A00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Nový parametr</w:t>
            </w:r>
          </w:p>
        </w:tc>
      </w:tr>
      <w:tr w:rsidR="00A00D52" w14:paraId="0AFE71CA" w14:textId="77777777" w:rsidTr="00E62E7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vAlign w:val="center"/>
          </w:tcPr>
          <w:p w14:paraId="5E9FE51D" w14:textId="1EB41548" w:rsidR="00A00D52" w:rsidRPr="00E62E73" w:rsidRDefault="00A00D52" w:rsidP="00A00D52">
            <w:pPr>
              <w:spacing w:after="240" w:line="264" w:lineRule="auto"/>
              <w:jc w:val="both"/>
              <w:rPr>
                <w:b/>
                <w:bCs/>
              </w:rPr>
            </w:pPr>
            <w:r w:rsidRPr="00D62A02">
              <w:rPr>
                <w:b/>
                <w:bCs/>
                <w:sz w:val="20"/>
                <w:szCs w:val="20"/>
              </w:rPr>
              <w:t>Stav bytu</w:t>
            </w:r>
          </w:p>
        </w:tc>
        <w:tc>
          <w:tcPr>
            <w:tcW w:w="5691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</w:tcBorders>
            <w:vAlign w:val="center"/>
          </w:tcPr>
          <w:p w14:paraId="2AAACCCF" w14:textId="77777777" w:rsidR="00A00D52" w:rsidRPr="00D62A02" w:rsidRDefault="00A00D52" w:rsidP="00A00D52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2A02">
              <w:rPr>
                <w:sz w:val="20"/>
                <w:szCs w:val="20"/>
              </w:rPr>
              <w:t xml:space="preserve">Filtr rozřazuje bytový fond </w:t>
            </w:r>
            <w:proofErr w:type="gramStart"/>
            <w:r w:rsidRPr="00D62A02">
              <w:rPr>
                <w:sz w:val="20"/>
                <w:szCs w:val="20"/>
              </w:rPr>
              <w:t>na</w:t>
            </w:r>
            <w:proofErr w:type="gramEnd"/>
            <w:r w:rsidRPr="00D62A02">
              <w:rPr>
                <w:sz w:val="20"/>
                <w:szCs w:val="20"/>
              </w:rPr>
              <w:t xml:space="preserve"> do dvou kategorií:</w:t>
            </w:r>
          </w:p>
          <w:p w14:paraId="757FDF29" w14:textId="77777777" w:rsidR="00A00D52" w:rsidRPr="00D62A02" w:rsidRDefault="00A00D52" w:rsidP="00A00D52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2A02">
              <w:rPr>
                <w:sz w:val="20"/>
                <w:szCs w:val="20"/>
              </w:rPr>
              <w:t>Byty v původním stavu („Původní stav“)</w:t>
            </w:r>
          </w:p>
          <w:p w14:paraId="4CC7F4BF" w14:textId="77777777" w:rsidR="00A00D52" w:rsidRPr="00E7119E" w:rsidRDefault="00A00D52" w:rsidP="00A00D52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2A02">
              <w:rPr>
                <w:sz w:val="20"/>
                <w:szCs w:val="20"/>
              </w:rPr>
              <w:t>Byty po rekonstrukci („Po rekonstrukci“)</w:t>
            </w:r>
          </w:p>
          <w:p w14:paraId="220E39C2" w14:textId="77777777" w:rsidR="00A00D52" w:rsidRDefault="00A00D52" w:rsidP="00A00D52">
            <w:pPr>
              <w:ind w:left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E614E00" w14:textId="00E06BF3" w:rsidR="00A00D52" w:rsidRPr="00E7119E" w:rsidRDefault="00A00D52" w:rsidP="00A00D52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7119E">
              <w:rPr>
                <w:sz w:val="20"/>
                <w:szCs w:val="20"/>
              </w:rPr>
              <w:t>Pozn. Byty v původním stavu jsou takové, které nemají uvedený žádný záznam v tabulce rekonstrukcí</w:t>
            </w:r>
          </w:p>
        </w:tc>
        <w:tc>
          <w:tcPr>
            <w:tcW w:w="1365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</w:tcPr>
          <w:p w14:paraId="25FA3636" w14:textId="7B6B44B4" w:rsidR="00A00D52" w:rsidRDefault="00A00D52" w:rsidP="00A00D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Nový parametr</w:t>
            </w:r>
          </w:p>
        </w:tc>
      </w:tr>
    </w:tbl>
    <w:p w14:paraId="7FADCE08" w14:textId="416D8245" w:rsidR="00E62E73" w:rsidRDefault="00E62E73" w:rsidP="00334D68">
      <w:pPr>
        <w:spacing w:before="120"/>
        <w:rPr>
          <w:b/>
          <w:sz w:val="20"/>
          <w:szCs w:val="20"/>
        </w:rPr>
      </w:pPr>
    </w:p>
    <w:p w14:paraId="212B72DA" w14:textId="3CF87DDE" w:rsidR="00920D54" w:rsidRDefault="00920D54" w:rsidP="00334D68">
      <w:pPr>
        <w:spacing w:before="120"/>
        <w:rPr>
          <w:b/>
          <w:sz w:val="20"/>
          <w:szCs w:val="20"/>
        </w:rPr>
      </w:pPr>
    </w:p>
    <w:p w14:paraId="2401908E" w14:textId="77777777" w:rsidR="00920D54" w:rsidRPr="00334D68" w:rsidRDefault="00920D54" w:rsidP="00334D68">
      <w:pPr>
        <w:spacing w:before="120"/>
        <w:rPr>
          <w:b/>
          <w:sz w:val="20"/>
          <w:szCs w:val="20"/>
        </w:rPr>
      </w:pPr>
    </w:p>
    <w:p w14:paraId="2757489D" w14:textId="40F4F3FB" w:rsidR="00AD4A2A" w:rsidRPr="00C35625" w:rsidRDefault="00F53D8D" w:rsidP="00AD4A2A">
      <w:pPr>
        <w:jc w:val="both"/>
        <w:rPr>
          <w:b/>
          <w:sz w:val="20"/>
          <w:szCs w:val="20"/>
        </w:rPr>
      </w:pPr>
      <w:r w:rsidRPr="00C35625">
        <w:rPr>
          <w:b/>
          <w:sz w:val="20"/>
          <w:szCs w:val="20"/>
        </w:rPr>
        <w:t>Filtrování pro Report 2B</w:t>
      </w:r>
    </w:p>
    <w:tbl>
      <w:tblPr>
        <w:tblStyle w:val="Mkatabulky"/>
        <w:tblW w:w="0" w:type="auto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36"/>
        <w:gridCol w:w="5691"/>
        <w:gridCol w:w="1365"/>
      </w:tblGrid>
      <w:tr w:rsidR="00F53D8D" w:rsidRPr="00D14911" w14:paraId="27D4AAB0" w14:textId="77777777" w:rsidTr="00A54F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shd w:val="clear" w:color="auto" w:fill="002060"/>
            <w:vAlign w:val="center"/>
          </w:tcPr>
          <w:p w14:paraId="35D6A65B" w14:textId="2E9B091F" w:rsidR="00F53D8D" w:rsidRPr="00D14911" w:rsidRDefault="00F53D8D" w:rsidP="00F53D8D">
            <w:pPr>
              <w:rPr>
                <w:bCs/>
                <w:color w:val="FFFFFF" w:themeColor="background1"/>
                <w:sz w:val="20"/>
                <w:szCs w:val="20"/>
              </w:rPr>
            </w:pPr>
            <w:r>
              <w:rPr>
                <w:bCs/>
                <w:color w:val="FFFFFF" w:themeColor="background1"/>
                <w:sz w:val="20"/>
                <w:szCs w:val="20"/>
              </w:rPr>
              <w:t>F</w:t>
            </w:r>
            <w:r w:rsidR="00A54FAF">
              <w:rPr>
                <w:bCs/>
                <w:color w:val="FFFFFF" w:themeColor="background1"/>
                <w:sz w:val="20"/>
                <w:szCs w:val="20"/>
              </w:rPr>
              <w:t>iltr</w:t>
            </w:r>
          </w:p>
        </w:tc>
        <w:tc>
          <w:tcPr>
            <w:tcW w:w="5691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</w:tcBorders>
            <w:shd w:val="clear" w:color="auto" w:fill="002060"/>
            <w:vAlign w:val="center"/>
          </w:tcPr>
          <w:p w14:paraId="06B8B83F" w14:textId="40737AAC" w:rsidR="00F53D8D" w:rsidRPr="00D14911" w:rsidRDefault="00A54FAF" w:rsidP="00F53D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Popis</w:t>
            </w:r>
          </w:p>
        </w:tc>
        <w:tc>
          <w:tcPr>
            <w:tcW w:w="1365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shd w:val="clear" w:color="auto" w:fill="002060"/>
          </w:tcPr>
          <w:p w14:paraId="7780EB6D" w14:textId="079B0111" w:rsidR="00F53D8D" w:rsidRPr="00D14911" w:rsidRDefault="00A54FAF" w:rsidP="00F53D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Zdroj</w:t>
            </w:r>
          </w:p>
        </w:tc>
      </w:tr>
      <w:tr w:rsidR="00F53D8D" w:rsidRPr="00E62E73" w14:paraId="7308D23E" w14:textId="77777777" w:rsidTr="00F53D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vAlign w:val="center"/>
          </w:tcPr>
          <w:p w14:paraId="24A4DF9B" w14:textId="77777777" w:rsidR="00F53D8D" w:rsidRPr="00E62E73" w:rsidRDefault="00F53D8D" w:rsidP="00F53D8D">
            <w:pPr>
              <w:rPr>
                <w:b/>
                <w:bCs/>
                <w:color w:val="FFFFFF" w:themeColor="background1"/>
              </w:rPr>
            </w:pPr>
            <w:r w:rsidRPr="00E62E73">
              <w:rPr>
                <w:b/>
                <w:bCs/>
                <w:sz w:val="20"/>
                <w:szCs w:val="20"/>
              </w:rPr>
              <w:t>Oblastní ředitelství</w:t>
            </w:r>
          </w:p>
        </w:tc>
        <w:tc>
          <w:tcPr>
            <w:tcW w:w="5691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</w:tcBorders>
            <w:vAlign w:val="center"/>
          </w:tcPr>
          <w:p w14:paraId="64230397" w14:textId="77777777" w:rsidR="00F53D8D" w:rsidRPr="00E62E73" w:rsidRDefault="00F53D8D" w:rsidP="00F53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E62E73">
              <w:rPr>
                <w:sz w:val="20"/>
                <w:szCs w:val="20"/>
              </w:rPr>
              <w:t xml:space="preserve">Oblastní ředitelství jsou organizační jednotky, které spravují majetek Správy železnic včetně bytů. </w:t>
            </w:r>
          </w:p>
        </w:tc>
        <w:tc>
          <w:tcPr>
            <w:tcW w:w="1365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</w:tcPr>
          <w:p w14:paraId="2E4DA03B" w14:textId="7D5051B8" w:rsidR="00F53D8D" w:rsidRPr="00E62E73" w:rsidRDefault="00A54FAF" w:rsidP="00F53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sz w:val="20"/>
                <w:szCs w:val="20"/>
              </w:rPr>
              <w:t xml:space="preserve">SAP </w:t>
            </w:r>
            <w:r w:rsidR="00F53D8D" w:rsidRPr="00E62E73">
              <w:rPr>
                <w:sz w:val="20"/>
                <w:szCs w:val="20"/>
              </w:rPr>
              <w:t>REM</w:t>
            </w:r>
          </w:p>
        </w:tc>
      </w:tr>
      <w:tr w:rsidR="00F53D8D" w:rsidRPr="00E62E73" w14:paraId="36EBAC89" w14:textId="77777777" w:rsidTr="00F53D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vAlign w:val="center"/>
          </w:tcPr>
          <w:p w14:paraId="34769A6C" w14:textId="77777777" w:rsidR="00F53D8D" w:rsidRPr="00E62E73" w:rsidRDefault="00F53D8D" w:rsidP="00F53D8D">
            <w:pPr>
              <w:spacing w:after="240" w:line="264" w:lineRule="auto"/>
              <w:jc w:val="both"/>
              <w:rPr>
                <w:b/>
                <w:bCs/>
                <w:sz w:val="20"/>
                <w:szCs w:val="20"/>
              </w:rPr>
            </w:pPr>
            <w:r w:rsidRPr="00E62E73">
              <w:rPr>
                <w:b/>
                <w:bCs/>
                <w:sz w:val="20"/>
                <w:szCs w:val="20"/>
              </w:rPr>
              <w:t>Kraj</w:t>
            </w:r>
          </w:p>
        </w:tc>
        <w:tc>
          <w:tcPr>
            <w:tcW w:w="5691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</w:tcBorders>
            <w:vAlign w:val="center"/>
          </w:tcPr>
          <w:p w14:paraId="450EEB7D" w14:textId="77777777" w:rsidR="00F53D8D" w:rsidRPr="00E62E73" w:rsidRDefault="00F53D8D" w:rsidP="00F53D8D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62E73">
              <w:rPr>
                <w:sz w:val="20"/>
                <w:szCs w:val="20"/>
              </w:rPr>
              <w:t>Filtr upravující výběr dle krajů ČR (odpovídá hospodářským jednotkám SŽ).</w:t>
            </w:r>
            <w:r>
              <w:t xml:space="preserve"> </w:t>
            </w:r>
          </w:p>
        </w:tc>
        <w:tc>
          <w:tcPr>
            <w:tcW w:w="1365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</w:tcPr>
          <w:p w14:paraId="686CF479" w14:textId="519530CC" w:rsidR="00F53D8D" w:rsidRPr="00E62E73" w:rsidRDefault="00A54FAF" w:rsidP="00F53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 </w:t>
            </w:r>
            <w:r w:rsidR="00F53D8D" w:rsidRPr="00E62E73">
              <w:rPr>
                <w:sz w:val="20"/>
                <w:szCs w:val="20"/>
              </w:rPr>
              <w:t>REM</w:t>
            </w:r>
          </w:p>
        </w:tc>
      </w:tr>
      <w:tr w:rsidR="00F53D8D" w14:paraId="2A4BDCFA" w14:textId="77777777" w:rsidTr="00F53D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vAlign w:val="center"/>
          </w:tcPr>
          <w:p w14:paraId="0A46D0CD" w14:textId="77777777" w:rsidR="00F53D8D" w:rsidRPr="00E62E73" w:rsidRDefault="00F53D8D" w:rsidP="00F53D8D">
            <w:pPr>
              <w:spacing w:after="240" w:line="264" w:lineRule="auto"/>
              <w:jc w:val="both"/>
              <w:rPr>
                <w:b/>
                <w:bCs/>
              </w:rPr>
            </w:pPr>
            <w:r w:rsidRPr="00E62E73">
              <w:rPr>
                <w:b/>
                <w:bCs/>
                <w:sz w:val="20"/>
                <w:szCs w:val="20"/>
              </w:rPr>
              <w:t>Železniční stanice (SR70)</w:t>
            </w:r>
          </w:p>
        </w:tc>
        <w:tc>
          <w:tcPr>
            <w:tcW w:w="5691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</w:tcBorders>
            <w:vAlign w:val="center"/>
          </w:tcPr>
          <w:p w14:paraId="59C4F175" w14:textId="77777777" w:rsidR="00F53D8D" w:rsidRDefault="00F53D8D" w:rsidP="00F53D8D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2E73">
              <w:rPr>
                <w:sz w:val="20"/>
                <w:szCs w:val="20"/>
              </w:rPr>
              <w:t>Filtr umožňující výběr konkrétní železniční stanice ve správě SŽ. Filtr zobrazuje názvy jednotlivých železničních stanic.</w:t>
            </w:r>
            <w:r>
              <w:t xml:space="preserve"> </w:t>
            </w:r>
          </w:p>
        </w:tc>
        <w:tc>
          <w:tcPr>
            <w:tcW w:w="1365" w:type="dxa"/>
            <w:tcBorders>
              <w:top w:val="single" w:sz="4" w:space="0" w:color="75787B"/>
              <w:left w:val="single" w:sz="4" w:space="0" w:color="75787B"/>
              <w:bottom w:val="single" w:sz="4" w:space="0" w:color="auto"/>
              <w:right w:val="single" w:sz="4" w:space="0" w:color="75787B"/>
            </w:tcBorders>
          </w:tcPr>
          <w:p w14:paraId="736FFD0D" w14:textId="35252B47" w:rsidR="00F53D8D" w:rsidRDefault="00A54FAF" w:rsidP="00F53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 xml:space="preserve">SAP </w:t>
            </w:r>
            <w:r w:rsidR="00F53D8D" w:rsidRPr="00E62E73">
              <w:rPr>
                <w:sz w:val="20"/>
                <w:szCs w:val="20"/>
              </w:rPr>
              <w:t>REM</w:t>
            </w:r>
          </w:p>
        </w:tc>
      </w:tr>
      <w:tr w:rsidR="00F53D8D" w14:paraId="4903FDBC" w14:textId="77777777" w:rsidTr="00F53D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vAlign w:val="center"/>
          </w:tcPr>
          <w:p w14:paraId="411190C1" w14:textId="5C44705B" w:rsidR="00F53D8D" w:rsidRPr="00F53D8D" w:rsidRDefault="00F53D8D" w:rsidP="005A1A25">
            <w:pPr>
              <w:spacing w:after="240" w:line="264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5A1A25">
              <w:rPr>
                <w:b/>
                <w:bCs/>
                <w:sz w:val="20"/>
                <w:szCs w:val="20"/>
              </w:rPr>
              <w:t>Obec</w:t>
            </w:r>
          </w:p>
        </w:tc>
        <w:tc>
          <w:tcPr>
            <w:tcW w:w="5691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</w:tcBorders>
            <w:vAlign w:val="center"/>
          </w:tcPr>
          <w:p w14:paraId="59EB1880" w14:textId="7EE91988" w:rsidR="00F53D8D" w:rsidRPr="00F53D8D" w:rsidRDefault="00F53D8D" w:rsidP="00F53D8D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5A1A25">
              <w:rPr>
                <w:sz w:val="20"/>
                <w:szCs w:val="20"/>
              </w:rPr>
              <w:t>Filtr umožňující vyhledat obec v České republice.</w:t>
            </w:r>
          </w:p>
        </w:tc>
        <w:tc>
          <w:tcPr>
            <w:tcW w:w="1365" w:type="dxa"/>
            <w:tcBorders>
              <w:top w:val="single" w:sz="4" w:space="0" w:color="75787B"/>
              <w:left w:val="single" w:sz="4" w:space="0" w:color="75787B"/>
              <w:bottom w:val="single" w:sz="4" w:space="0" w:color="auto"/>
              <w:right w:val="single" w:sz="4" w:space="0" w:color="75787B"/>
            </w:tcBorders>
          </w:tcPr>
          <w:p w14:paraId="2B17BEEB" w14:textId="05A308DB" w:rsidR="00F53D8D" w:rsidRPr="00F53D8D" w:rsidRDefault="005A1A25" w:rsidP="005A1A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5A1A25">
              <w:rPr>
                <w:sz w:val="20"/>
                <w:szCs w:val="20"/>
              </w:rPr>
              <w:t>SAP REM</w:t>
            </w:r>
          </w:p>
        </w:tc>
      </w:tr>
      <w:tr w:rsidR="00F53D8D" w14:paraId="39F74D8E" w14:textId="77777777" w:rsidTr="00F53D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vAlign w:val="center"/>
          </w:tcPr>
          <w:p w14:paraId="3B692309" w14:textId="77777777" w:rsidR="00F53D8D" w:rsidRPr="00E62E73" w:rsidRDefault="00F53D8D" w:rsidP="00F53D8D">
            <w:pPr>
              <w:spacing w:after="240" w:line="264" w:lineRule="auto"/>
              <w:jc w:val="both"/>
              <w:rPr>
                <w:b/>
                <w:bCs/>
              </w:rPr>
            </w:pPr>
            <w:r w:rsidRPr="00E62E73">
              <w:rPr>
                <w:b/>
                <w:bCs/>
                <w:sz w:val="20"/>
                <w:szCs w:val="20"/>
              </w:rPr>
              <w:t>Typ budovy</w:t>
            </w:r>
          </w:p>
        </w:tc>
        <w:tc>
          <w:tcPr>
            <w:tcW w:w="5691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</w:tcBorders>
            <w:vAlign w:val="center"/>
          </w:tcPr>
          <w:p w14:paraId="4B71DD4C" w14:textId="77777777" w:rsidR="00F53D8D" w:rsidRDefault="00F53D8D" w:rsidP="00F53D8D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2E73">
              <w:rPr>
                <w:sz w:val="20"/>
                <w:szCs w:val="20"/>
              </w:rPr>
              <w:t>Filtr umožňující zvolit pro zobrazení konkrétní typ nebo typy budovy z hlediska potřeb drážní dopravy.</w:t>
            </w:r>
            <w:r w:rsidRPr="00F966BD">
              <w:rPr>
                <w:color w:val="FF0000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75787B"/>
              <w:bottom w:val="single" w:sz="4" w:space="0" w:color="75787B"/>
              <w:right w:val="single" w:sz="4" w:space="0" w:color="75787B"/>
            </w:tcBorders>
          </w:tcPr>
          <w:p w14:paraId="6A437BF5" w14:textId="5DE38B4D" w:rsidR="00F53D8D" w:rsidRDefault="00A54FAF" w:rsidP="00F53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 xml:space="preserve">SAP </w:t>
            </w:r>
            <w:r w:rsidR="00F53D8D" w:rsidRPr="00E62E73">
              <w:rPr>
                <w:sz w:val="20"/>
                <w:szCs w:val="20"/>
              </w:rPr>
              <w:t>REM</w:t>
            </w:r>
          </w:p>
        </w:tc>
      </w:tr>
      <w:tr w:rsidR="00F53D8D" w14:paraId="4AC9E175" w14:textId="77777777" w:rsidTr="00F53D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vAlign w:val="center"/>
          </w:tcPr>
          <w:p w14:paraId="580CC7BE" w14:textId="1E24E00F" w:rsidR="00F53D8D" w:rsidRPr="00E62E73" w:rsidRDefault="00A54FAF" w:rsidP="00F53D8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Velikost bytu</w:t>
            </w:r>
          </w:p>
        </w:tc>
        <w:tc>
          <w:tcPr>
            <w:tcW w:w="5691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</w:tcBorders>
            <w:vAlign w:val="center"/>
          </w:tcPr>
          <w:p w14:paraId="652ED7B1" w14:textId="77777777" w:rsidR="00A54FAF" w:rsidRPr="00D62A02" w:rsidRDefault="00A54FAF" w:rsidP="00A54FAF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2A02">
              <w:rPr>
                <w:sz w:val="20"/>
                <w:szCs w:val="20"/>
              </w:rPr>
              <w:t xml:space="preserve">Filtr rozřazuje bytový fond na do kategorií dle celkové výměry bytu v m2: </w:t>
            </w:r>
          </w:p>
          <w:p w14:paraId="51159AD5" w14:textId="77777777" w:rsidR="00A54FAF" w:rsidRPr="00D62A02" w:rsidRDefault="00A54FAF" w:rsidP="00A54FAF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2A02">
              <w:rPr>
                <w:sz w:val="20"/>
                <w:szCs w:val="20"/>
              </w:rPr>
              <w:t>0-20 m2</w:t>
            </w:r>
          </w:p>
          <w:p w14:paraId="44E1CF0C" w14:textId="77777777" w:rsidR="00A54FAF" w:rsidRPr="00D62A02" w:rsidRDefault="00A54FAF" w:rsidP="00A54FAF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2A02">
              <w:rPr>
                <w:sz w:val="20"/>
                <w:szCs w:val="20"/>
              </w:rPr>
              <w:t>20-40 m2</w:t>
            </w:r>
          </w:p>
          <w:p w14:paraId="25D0C7E4" w14:textId="77777777" w:rsidR="00A54FAF" w:rsidRPr="00D62A02" w:rsidRDefault="00A54FAF" w:rsidP="00A54FAF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2A02">
              <w:rPr>
                <w:sz w:val="20"/>
                <w:szCs w:val="20"/>
              </w:rPr>
              <w:t>60-80 m2</w:t>
            </w:r>
          </w:p>
          <w:p w14:paraId="55914913" w14:textId="77777777" w:rsidR="00A54FAF" w:rsidRPr="00D62A02" w:rsidRDefault="00A54FAF" w:rsidP="00A54FAF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2A02">
              <w:rPr>
                <w:sz w:val="20"/>
                <w:szCs w:val="20"/>
              </w:rPr>
              <w:t>80-100 m2</w:t>
            </w:r>
          </w:p>
          <w:p w14:paraId="41AD302D" w14:textId="77777777" w:rsidR="00A54FAF" w:rsidRPr="00E7119E" w:rsidRDefault="00A54FAF" w:rsidP="00A54FAF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7119E">
              <w:rPr>
                <w:sz w:val="20"/>
                <w:szCs w:val="20"/>
              </w:rPr>
              <w:t>Více jak 100 m2</w:t>
            </w:r>
          </w:p>
          <w:p w14:paraId="7D57A6C7" w14:textId="2696A629" w:rsidR="00F53D8D" w:rsidRPr="00E62E73" w:rsidRDefault="00F53D8D" w:rsidP="00A54FA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75787B"/>
              <w:bottom w:val="single" w:sz="4" w:space="0" w:color="75787B"/>
              <w:right w:val="single" w:sz="4" w:space="0" w:color="75787B"/>
            </w:tcBorders>
          </w:tcPr>
          <w:p w14:paraId="26A60992" w14:textId="769D4EB5" w:rsidR="00F53D8D" w:rsidRPr="00E62E73" w:rsidRDefault="00473D34" w:rsidP="00F53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 REM</w:t>
            </w:r>
          </w:p>
        </w:tc>
      </w:tr>
      <w:tr w:rsidR="00F53D8D" w14:paraId="1420AF0E" w14:textId="77777777" w:rsidTr="00F53D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vAlign w:val="center"/>
          </w:tcPr>
          <w:p w14:paraId="5F671B79" w14:textId="77777777" w:rsidR="00F53D8D" w:rsidRPr="00E62E73" w:rsidRDefault="00F53D8D" w:rsidP="00F53D8D">
            <w:pPr>
              <w:spacing w:after="240" w:line="264" w:lineRule="auto"/>
              <w:jc w:val="both"/>
              <w:rPr>
                <w:b/>
                <w:bCs/>
              </w:rPr>
            </w:pPr>
            <w:r w:rsidRPr="00E62E73">
              <w:rPr>
                <w:b/>
                <w:bCs/>
                <w:sz w:val="20"/>
                <w:szCs w:val="20"/>
              </w:rPr>
              <w:t>Typ bytu</w:t>
            </w:r>
          </w:p>
        </w:tc>
        <w:tc>
          <w:tcPr>
            <w:tcW w:w="5691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</w:tcBorders>
            <w:vAlign w:val="center"/>
          </w:tcPr>
          <w:p w14:paraId="1195D776" w14:textId="77777777" w:rsidR="00F53D8D" w:rsidRPr="00E62E73" w:rsidRDefault="00F53D8D" w:rsidP="00F53D8D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62E73">
              <w:rPr>
                <w:sz w:val="20"/>
                <w:szCs w:val="20"/>
              </w:rPr>
              <w:t xml:space="preserve">Filtr rozřazuje bytový fond na tři kategorie: </w:t>
            </w:r>
          </w:p>
          <w:p w14:paraId="3C778FED" w14:textId="77777777" w:rsidR="00F53D8D" w:rsidRPr="00E62E73" w:rsidRDefault="00F53D8D" w:rsidP="00CC21AD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62E73">
              <w:rPr>
                <w:sz w:val="20"/>
                <w:szCs w:val="20"/>
              </w:rPr>
              <w:t>Byty standardní</w:t>
            </w:r>
          </w:p>
          <w:p w14:paraId="51D94A91" w14:textId="43BF5926" w:rsidR="00F53D8D" w:rsidRDefault="00F53D8D" w:rsidP="002B0025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62E73">
              <w:rPr>
                <w:sz w:val="20"/>
                <w:szCs w:val="20"/>
              </w:rPr>
              <w:t>Byty pobídkové</w:t>
            </w:r>
          </w:p>
          <w:p w14:paraId="1ECBD076" w14:textId="0AFCD008" w:rsidR="00F412D2" w:rsidRPr="00E62E73" w:rsidRDefault="00F412D2" w:rsidP="002B0025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62E73">
              <w:rPr>
                <w:sz w:val="20"/>
                <w:szCs w:val="20"/>
              </w:rPr>
              <w:t xml:space="preserve">Byty </w:t>
            </w:r>
            <w:proofErr w:type="spellStart"/>
            <w:r w:rsidRPr="00E62E73">
              <w:rPr>
                <w:sz w:val="20"/>
                <w:szCs w:val="20"/>
              </w:rPr>
              <w:t>zasmluvněné</w:t>
            </w:r>
            <w:proofErr w:type="spellEnd"/>
            <w:r w:rsidRPr="00E62E73">
              <w:rPr>
                <w:sz w:val="20"/>
                <w:szCs w:val="20"/>
              </w:rPr>
              <w:t xml:space="preserve">  ve zvláštním režimu</w:t>
            </w:r>
          </w:p>
          <w:p w14:paraId="180E83DB" w14:textId="5A069A97" w:rsidR="00F53D8D" w:rsidRPr="00F966BD" w:rsidRDefault="00F53D8D" w:rsidP="00F412D2">
            <w:pPr>
              <w:pStyle w:val="Odstavecseseznamem"/>
              <w:ind w:left="6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5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</w:tcPr>
          <w:p w14:paraId="7FE5209A" w14:textId="32E0F839" w:rsidR="00F53D8D" w:rsidRDefault="00A54FAF" w:rsidP="00F53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 xml:space="preserve">SAP </w:t>
            </w:r>
            <w:r w:rsidR="00F53D8D" w:rsidRPr="00E62E73">
              <w:rPr>
                <w:sz w:val="20"/>
                <w:szCs w:val="20"/>
              </w:rPr>
              <w:t>REM</w:t>
            </w:r>
          </w:p>
        </w:tc>
      </w:tr>
      <w:tr w:rsidR="00473D34" w14:paraId="4F2970B3" w14:textId="77777777" w:rsidTr="00F53D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vAlign w:val="center"/>
          </w:tcPr>
          <w:p w14:paraId="44E87058" w14:textId="5E0735E9" w:rsidR="00473D34" w:rsidRPr="00E62E73" w:rsidRDefault="00473D34" w:rsidP="00F53D8D">
            <w:pPr>
              <w:spacing w:after="240" w:line="264" w:lineRule="auto"/>
              <w:jc w:val="both"/>
              <w:rPr>
                <w:b/>
                <w:bCs/>
              </w:rPr>
            </w:pPr>
            <w:r w:rsidRPr="00D62A02">
              <w:rPr>
                <w:b/>
                <w:bCs/>
                <w:sz w:val="20"/>
                <w:szCs w:val="20"/>
              </w:rPr>
              <w:t>Kvalita bytu</w:t>
            </w:r>
          </w:p>
        </w:tc>
        <w:tc>
          <w:tcPr>
            <w:tcW w:w="5691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</w:tcBorders>
            <w:vAlign w:val="center"/>
          </w:tcPr>
          <w:p w14:paraId="55AC245A" w14:textId="77777777" w:rsidR="00473D34" w:rsidRPr="00D62A02" w:rsidRDefault="00473D34" w:rsidP="00F53D8D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2A02">
              <w:rPr>
                <w:sz w:val="20"/>
                <w:szCs w:val="20"/>
              </w:rPr>
              <w:t xml:space="preserve">Filtr rozřazuje bytový fond </w:t>
            </w:r>
            <w:proofErr w:type="gramStart"/>
            <w:r w:rsidRPr="00D62A02">
              <w:rPr>
                <w:sz w:val="20"/>
                <w:szCs w:val="20"/>
              </w:rPr>
              <w:t>na</w:t>
            </w:r>
            <w:proofErr w:type="gramEnd"/>
            <w:r w:rsidRPr="00D62A02">
              <w:rPr>
                <w:sz w:val="20"/>
                <w:szCs w:val="20"/>
              </w:rPr>
              <w:t xml:space="preserve"> do dvou kategorií: </w:t>
            </w:r>
          </w:p>
          <w:p w14:paraId="47FB8270" w14:textId="77777777" w:rsidR="00473D34" w:rsidRPr="00D62A02" w:rsidRDefault="00473D34" w:rsidP="00CC21AD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2A02">
              <w:rPr>
                <w:sz w:val="20"/>
                <w:szCs w:val="20"/>
              </w:rPr>
              <w:t>Byty s nesníženou kvalitou („Nesnížená kvalita“)</w:t>
            </w:r>
          </w:p>
          <w:p w14:paraId="4C217FE8" w14:textId="16C7D230" w:rsidR="00473D34" w:rsidRPr="00BD38FB" w:rsidRDefault="00473D34" w:rsidP="00473D34">
            <w:pPr>
              <w:pStyle w:val="Odstavecseseznamem"/>
              <w:ind w:left="6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2A02">
              <w:rPr>
                <w:sz w:val="20"/>
                <w:szCs w:val="20"/>
              </w:rPr>
              <w:t>Byty se sníženou kvalitou („Snížená kvalita“)</w:t>
            </w:r>
          </w:p>
        </w:tc>
        <w:tc>
          <w:tcPr>
            <w:tcW w:w="1365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</w:tcPr>
          <w:p w14:paraId="3C34C2FE" w14:textId="0AD74A91" w:rsidR="00473D34" w:rsidRDefault="00473D34" w:rsidP="00F53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Nový parametr</w:t>
            </w:r>
          </w:p>
        </w:tc>
      </w:tr>
      <w:tr w:rsidR="00473D34" w14:paraId="6CE47906" w14:textId="77777777" w:rsidTr="00F53D8D">
        <w:trPr>
          <w:trHeight w:val="2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vAlign w:val="center"/>
          </w:tcPr>
          <w:p w14:paraId="03D5687C" w14:textId="3C7FC641" w:rsidR="00473D34" w:rsidRPr="00E62E73" w:rsidRDefault="00473D34" w:rsidP="00F53D8D">
            <w:pPr>
              <w:spacing w:after="240" w:line="264" w:lineRule="auto"/>
              <w:jc w:val="both"/>
              <w:rPr>
                <w:b/>
                <w:bCs/>
              </w:rPr>
            </w:pPr>
            <w:r w:rsidRPr="00D62A02">
              <w:rPr>
                <w:b/>
                <w:bCs/>
                <w:sz w:val="20"/>
                <w:szCs w:val="20"/>
              </w:rPr>
              <w:t>Stav bytu</w:t>
            </w:r>
          </w:p>
        </w:tc>
        <w:tc>
          <w:tcPr>
            <w:tcW w:w="5691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</w:tcBorders>
            <w:vAlign w:val="center"/>
          </w:tcPr>
          <w:p w14:paraId="5DF83F48" w14:textId="77777777" w:rsidR="00473D34" w:rsidRPr="00D62A02" w:rsidRDefault="00473D34" w:rsidP="00F53D8D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2A02">
              <w:rPr>
                <w:sz w:val="20"/>
                <w:szCs w:val="20"/>
              </w:rPr>
              <w:t xml:space="preserve">Filtr rozřazuje bytový fond </w:t>
            </w:r>
            <w:proofErr w:type="gramStart"/>
            <w:r w:rsidRPr="00D62A02">
              <w:rPr>
                <w:sz w:val="20"/>
                <w:szCs w:val="20"/>
              </w:rPr>
              <w:t>na</w:t>
            </w:r>
            <w:proofErr w:type="gramEnd"/>
            <w:r w:rsidRPr="00D62A02">
              <w:rPr>
                <w:sz w:val="20"/>
                <w:szCs w:val="20"/>
              </w:rPr>
              <w:t xml:space="preserve"> do dvou kategorií:</w:t>
            </w:r>
          </w:p>
          <w:p w14:paraId="17A09349" w14:textId="77777777" w:rsidR="00473D34" w:rsidRPr="00D62A02" w:rsidRDefault="00473D34" w:rsidP="00CC21AD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2A02">
              <w:rPr>
                <w:sz w:val="20"/>
                <w:szCs w:val="20"/>
              </w:rPr>
              <w:t>Byty v původním stavu („Původní stav“)</w:t>
            </w:r>
          </w:p>
          <w:p w14:paraId="0C140B5E" w14:textId="063F211A" w:rsidR="00473D34" w:rsidRPr="00BD38FB" w:rsidRDefault="00473D34" w:rsidP="00CC21AD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2A02">
              <w:rPr>
                <w:sz w:val="20"/>
                <w:szCs w:val="20"/>
              </w:rPr>
              <w:t>Byty po rekonstrukci („Po rekonstrukci“)</w:t>
            </w:r>
          </w:p>
        </w:tc>
        <w:tc>
          <w:tcPr>
            <w:tcW w:w="1365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</w:tcPr>
          <w:p w14:paraId="7804D822" w14:textId="0AD777D6" w:rsidR="00473D34" w:rsidRDefault="00473D34" w:rsidP="00F53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Nový parametr</w:t>
            </w:r>
          </w:p>
        </w:tc>
      </w:tr>
      <w:tr w:rsidR="00473D34" w14:paraId="1CF1F00A" w14:textId="77777777" w:rsidTr="00F53D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vAlign w:val="center"/>
          </w:tcPr>
          <w:p w14:paraId="1403D1F2" w14:textId="01F10FBD" w:rsidR="00473D34" w:rsidRPr="00E62E73" w:rsidRDefault="00473D34" w:rsidP="00F53D8D">
            <w:pPr>
              <w:spacing w:after="240" w:line="264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Budova</w:t>
            </w:r>
          </w:p>
        </w:tc>
        <w:tc>
          <w:tcPr>
            <w:tcW w:w="5691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</w:tcBorders>
            <w:vAlign w:val="center"/>
          </w:tcPr>
          <w:p w14:paraId="762204DA" w14:textId="404EB8B7" w:rsidR="00473D34" w:rsidRPr="00C94ABD" w:rsidRDefault="00473D34" w:rsidP="00CC21AD">
            <w:pPr>
              <w:pStyle w:val="Odstavecseseznamem"/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0025">
              <w:rPr>
                <w:sz w:val="20"/>
                <w:szCs w:val="20"/>
              </w:rPr>
              <w:t>Filtr umožňuje vybrat konkrétní budovu</w:t>
            </w:r>
          </w:p>
        </w:tc>
        <w:tc>
          <w:tcPr>
            <w:tcW w:w="1365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</w:tcPr>
          <w:p w14:paraId="1221276B" w14:textId="571E1D73" w:rsidR="00473D34" w:rsidRDefault="00473D34" w:rsidP="00F53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 xml:space="preserve">SAP </w:t>
            </w:r>
            <w:r w:rsidRPr="002B0025">
              <w:rPr>
                <w:sz w:val="20"/>
                <w:szCs w:val="20"/>
              </w:rPr>
              <w:t>REM</w:t>
            </w:r>
          </w:p>
        </w:tc>
      </w:tr>
      <w:tr w:rsidR="00473D34" w14:paraId="51F2EA99" w14:textId="77777777" w:rsidTr="00F53D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6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  <w:vAlign w:val="center"/>
          </w:tcPr>
          <w:p w14:paraId="11FAD17F" w14:textId="3506997D" w:rsidR="00473D34" w:rsidRPr="00D62A02" w:rsidRDefault="00473D34" w:rsidP="002B00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ID Bytu (nájemní objekt)</w:t>
            </w:r>
          </w:p>
        </w:tc>
        <w:tc>
          <w:tcPr>
            <w:tcW w:w="5691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</w:tcBorders>
            <w:vAlign w:val="center"/>
          </w:tcPr>
          <w:p w14:paraId="5E43A8FC" w14:textId="4C975905" w:rsidR="00473D34" w:rsidRPr="00D62A02" w:rsidRDefault="00473D34" w:rsidP="002B0025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B0025">
              <w:rPr>
                <w:sz w:val="20"/>
                <w:szCs w:val="20"/>
              </w:rPr>
              <w:t>Filtr umožňuje vybrat konkrétní byt (dle nájemního objektu)</w:t>
            </w:r>
          </w:p>
        </w:tc>
        <w:tc>
          <w:tcPr>
            <w:tcW w:w="1365" w:type="dxa"/>
            <w:tcBorders>
              <w:top w:val="single" w:sz="4" w:space="0" w:color="75787B"/>
              <w:left w:val="single" w:sz="4" w:space="0" w:color="75787B"/>
              <w:bottom w:val="single" w:sz="4" w:space="0" w:color="75787B"/>
              <w:right w:val="single" w:sz="4" w:space="0" w:color="75787B"/>
            </w:tcBorders>
          </w:tcPr>
          <w:p w14:paraId="64B6C00F" w14:textId="3898E8C0" w:rsidR="00473D34" w:rsidRDefault="00473D34" w:rsidP="002B00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 </w:t>
            </w:r>
            <w:r w:rsidRPr="002B0025">
              <w:rPr>
                <w:sz w:val="20"/>
                <w:szCs w:val="20"/>
              </w:rPr>
              <w:t>REM</w:t>
            </w:r>
          </w:p>
        </w:tc>
      </w:tr>
    </w:tbl>
    <w:p w14:paraId="54DB1E73" w14:textId="010AF8B0" w:rsidR="005C1E57" w:rsidRPr="00AF7329" w:rsidRDefault="00AF7329" w:rsidP="00AF7329">
      <w:pPr>
        <w:pStyle w:val="Odstavecseseznamem"/>
        <w:numPr>
          <w:ilvl w:val="1"/>
          <w:numId w:val="18"/>
        </w:numPr>
        <w:jc w:val="both"/>
        <w:rPr>
          <w:b/>
          <w:sz w:val="20"/>
          <w:szCs w:val="20"/>
        </w:rPr>
      </w:pPr>
      <w:r w:rsidRPr="00AF7329">
        <w:rPr>
          <w:b/>
          <w:sz w:val="20"/>
          <w:szCs w:val="20"/>
        </w:rPr>
        <w:t>Přehled položek</w:t>
      </w:r>
    </w:p>
    <w:p w14:paraId="0E0183F9" w14:textId="3711CCCA" w:rsidR="00241EAE" w:rsidRDefault="00AF7329" w:rsidP="00920D54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Podkapitola shrnuje seznam požadovaných položek v reportech (vycházející z interní analýzy).</w:t>
      </w:r>
    </w:p>
    <w:p w14:paraId="2BBCE170" w14:textId="77777777" w:rsidR="008C6BB8" w:rsidRDefault="008C6BB8" w:rsidP="008C6BB8">
      <w:pPr>
        <w:rPr>
          <w:b/>
          <w:bCs/>
        </w:rPr>
      </w:pPr>
      <w:r w:rsidRPr="006F744A">
        <w:rPr>
          <w:b/>
          <w:bCs/>
        </w:rPr>
        <w:t>Report A</w:t>
      </w:r>
      <w:r>
        <w:rPr>
          <w:b/>
          <w:bCs/>
        </w:rPr>
        <w:t xml:space="preserve">: Základní přehled </w:t>
      </w:r>
    </w:p>
    <w:p w14:paraId="08215497" w14:textId="3B49A2D4" w:rsidR="008C6BB8" w:rsidRDefault="008C6BB8" w:rsidP="00920D54">
      <w:pPr>
        <w:jc w:val="both"/>
        <w:rPr>
          <w:sz w:val="20"/>
          <w:szCs w:val="20"/>
        </w:rPr>
      </w:pPr>
      <w:r>
        <w:t>„</w:t>
      </w:r>
      <w:r w:rsidRPr="008C6BB8">
        <w:rPr>
          <w:sz w:val="20"/>
          <w:szCs w:val="20"/>
        </w:rPr>
        <w:t>Report A: Základní přehled“ je úvodní obrazovkou Reportu, která se zobrazuje jako první po spuštění Reportu. Veškeré položky zohl</w:t>
      </w:r>
      <w:r w:rsidR="00171619">
        <w:rPr>
          <w:sz w:val="20"/>
          <w:szCs w:val="20"/>
        </w:rPr>
        <w:t>edňují uživatelem vybraný filtr</w:t>
      </w:r>
      <w:r w:rsidRPr="008C6BB8">
        <w:rPr>
          <w:sz w:val="20"/>
          <w:szCs w:val="20"/>
        </w:rPr>
        <w:t xml:space="preserve">, položky vždy odpovídají realitě pro vybranou kombinaci filtrů. Výjimkou je položka A9 (Výnosy a provozní náklady za posledních 5 let), která zohledňuje pouze filtr „OŘ“. </w:t>
      </w:r>
    </w:p>
    <w:tbl>
      <w:tblPr>
        <w:tblStyle w:val="Tabulkaseznamu3zvraznn11"/>
        <w:tblW w:w="5053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56"/>
        <w:gridCol w:w="1926"/>
        <w:gridCol w:w="2350"/>
        <w:gridCol w:w="1309"/>
        <w:gridCol w:w="1131"/>
        <w:gridCol w:w="1412"/>
      </w:tblGrid>
      <w:tr w:rsidR="00A30F5F" w:rsidRPr="004269EE" w14:paraId="39E2AB7F" w14:textId="43FF5D69" w:rsidTr="00B337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1" w:type="pct"/>
            <w:vAlign w:val="center"/>
          </w:tcPr>
          <w:p w14:paraId="4AA78572" w14:textId="18BC7CC1" w:rsidR="00A30F5F" w:rsidRPr="00AD4A2A" w:rsidRDefault="00A30F5F" w:rsidP="0012204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ID</w:t>
            </w:r>
          </w:p>
        </w:tc>
        <w:tc>
          <w:tcPr>
            <w:tcW w:w="1099" w:type="pct"/>
            <w:vAlign w:val="center"/>
          </w:tcPr>
          <w:p w14:paraId="17B73385" w14:textId="73AA1306" w:rsidR="00A30F5F" w:rsidRPr="00AD4A2A" w:rsidRDefault="00A30F5F" w:rsidP="00A30F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Položka (název)</w:t>
            </w:r>
          </w:p>
        </w:tc>
        <w:tc>
          <w:tcPr>
            <w:tcW w:w="1340" w:type="pct"/>
          </w:tcPr>
          <w:p w14:paraId="6A402545" w14:textId="20B92D1E" w:rsidR="00A30F5F" w:rsidRDefault="00A30F5F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30F5F">
              <w:rPr>
                <w:rFonts w:asciiTheme="minorHAnsi" w:hAnsiTheme="minorHAnsi"/>
              </w:rPr>
              <w:t>Pop</w:t>
            </w:r>
            <w:r>
              <w:rPr>
                <w:rFonts w:asciiTheme="minorHAnsi" w:hAnsiTheme="minorHAnsi"/>
              </w:rPr>
              <w:t>is položky</w:t>
            </w:r>
          </w:p>
        </w:tc>
        <w:tc>
          <w:tcPr>
            <w:tcW w:w="738" w:type="pct"/>
          </w:tcPr>
          <w:p w14:paraId="3FC008E7" w14:textId="39E9BBEC" w:rsidR="00A30F5F" w:rsidRPr="00B3376E" w:rsidRDefault="00A30F5F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3376E">
              <w:rPr>
                <w:rFonts w:asciiTheme="minorHAnsi" w:hAnsiTheme="minorHAnsi"/>
              </w:rPr>
              <w:t>Formát zobrazení</w:t>
            </w:r>
          </w:p>
        </w:tc>
        <w:tc>
          <w:tcPr>
            <w:tcW w:w="646" w:type="pct"/>
          </w:tcPr>
          <w:p w14:paraId="75541BC2" w14:textId="4F993CEB" w:rsidR="00A30F5F" w:rsidRPr="00B3376E" w:rsidRDefault="00A30F5F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3376E">
              <w:rPr>
                <w:rFonts w:asciiTheme="minorHAnsi" w:hAnsiTheme="minorHAnsi"/>
              </w:rPr>
              <w:t>Datový zdroj</w:t>
            </w:r>
          </w:p>
        </w:tc>
        <w:tc>
          <w:tcPr>
            <w:tcW w:w="806" w:type="pct"/>
          </w:tcPr>
          <w:p w14:paraId="36AF57F1" w14:textId="3989D9E8" w:rsidR="00A30F5F" w:rsidRPr="00B3376E" w:rsidRDefault="00A30F5F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3376E">
              <w:rPr>
                <w:rFonts w:asciiTheme="minorHAnsi" w:hAnsiTheme="minorHAnsi"/>
              </w:rPr>
              <w:t>Způsob předávání dat</w:t>
            </w:r>
          </w:p>
        </w:tc>
      </w:tr>
      <w:tr w:rsidR="00A30F5F" w14:paraId="7E6C4B8A" w14:textId="7FCD875F" w:rsidTr="00B337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" w:type="pct"/>
            <w:vAlign w:val="center"/>
          </w:tcPr>
          <w:p w14:paraId="47DA0266" w14:textId="63DEFCDD" w:rsidR="00A30F5F" w:rsidRPr="00AD4A2A" w:rsidRDefault="00A30F5F" w:rsidP="0012204C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A1</w:t>
            </w:r>
          </w:p>
        </w:tc>
        <w:tc>
          <w:tcPr>
            <w:tcW w:w="1099" w:type="pct"/>
            <w:vAlign w:val="center"/>
          </w:tcPr>
          <w:p w14:paraId="52EA8456" w14:textId="19B0AD8E" w:rsidR="00A30F5F" w:rsidRPr="00B3376E" w:rsidRDefault="00A30F5F" w:rsidP="00A30F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Počet bytů, počet pobídkových bytů</w:t>
            </w:r>
          </w:p>
        </w:tc>
        <w:tc>
          <w:tcPr>
            <w:tcW w:w="1340" w:type="pct"/>
          </w:tcPr>
          <w:p w14:paraId="279976D6" w14:textId="77777777" w:rsidR="00A30F5F" w:rsidRPr="00B3376E" w:rsidRDefault="00A30F5F" w:rsidP="00A30F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Celkový počet bytů pro vybranou oblast dle filtru. Zvlášť je zobrazena hodnota pro počet pobídkových bytů</w:t>
            </w:r>
          </w:p>
          <w:p w14:paraId="4570BF8A" w14:textId="77777777" w:rsidR="00A30F5F" w:rsidRPr="00B3376E" w:rsidRDefault="00A30F5F" w:rsidP="00A30F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  <w:p w14:paraId="09E3ACE4" w14:textId="1170FC22" w:rsidR="00A30F5F" w:rsidRPr="00B3376E" w:rsidRDefault="00A30F5F" w:rsidP="00A30F5F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Položka zároveň umožňuje hypertextový odkaz na pohled „Report A: Seznam bytů“.</w:t>
            </w:r>
          </w:p>
        </w:tc>
        <w:tc>
          <w:tcPr>
            <w:tcW w:w="738" w:type="pct"/>
          </w:tcPr>
          <w:p w14:paraId="52366D5B" w14:textId="6A339215" w:rsidR="00A30F5F" w:rsidRPr="00B3376E" w:rsidRDefault="00A30F5F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Hodnota</w:t>
            </w:r>
          </w:p>
        </w:tc>
        <w:tc>
          <w:tcPr>
            <w:tcW w:w="646" w:type="pct"/>
          </w:tcPr>
          <w:p w14:paraId="146F9DD2" w14:textId="608E81B0" w:rsidR="00A30F5F" w:rsidRPr="00B3376E" w:rsidRDefault="00171619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 xml:space="preserve">SAP </w:t>
            </w:r>
            <w:r w:rsidR="00A30F5F" w:rsidRPr="00B3376E">
              <w:rPr>
                <w:rFonts w:asciiTheme="minorHAnsi" w:hAnsiTheme="minorHAnsi"/>
                <w:sz w:val="18"/>
                <w:szCs w:val="18"/>
              </w:rPr>
              <w:t>REM</w:t>
            </w:r>
          </w:p>
        </w:tc>
        <w:tc>
          <w:tcPr>
            <w:tcW w:w="806" w:type="pct"/>
          </w:tcPr>
          <w:p w14:paraId="0ACF4B04" w14:textId="5C191725" w:rsidR="00A30F5F" w:rsidRPr="00B3376E" w:rsidRDefault="00A30F5F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A30F5F" w:rsidRPr="00011CD1" w14:paraId="04601894" w14:textId="4D7D8389" w:rsidTr="00B3376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" w:type="pct"/>
            <w:vAlign w:val="center"/>
          </w:tcPr>
          <w:p w14:paraId="1B9AED7D" w14:textId="00507F3F" w:rsidR="00A30F5F" w:rsidRPr="00AD4A2A" w:rsidRDefault="00A30F5F" w:rsidP="00A30F5F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A2</w:t>
            </w:r>
          </w:p>
        </w:tc>
        <w:tc>
          <w:tcPr>
            <w:tcW w:w="1099" w:type="pct"/>
            <w:vAlign w:val="center"/>
          </w:tcPr>
          <w:p w14:paraId="21958DBC" w14:textId="5F9A91DE" w:rsidR="00A30F5F" w:rsidRPr="00B3376E" w:rsidRDefault="00A30F5F" w:rsidP="00A30F5F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Počet objektů</w:t>
            </w:r>
          </w:p>
        </w:tc>
        <w:tc>
          <w:tcPr>
            <w:tcW w:w="1340" w:type="pct"/>
            <w:vAlign w:val="center"/>
          </w:tcPr>
          <w:p w14:paraId="016B170E" w14:textId="76A358E5" w:rsidR="00A30F5F" w:rsidRPr="00B3376E" w:rsidRDefault="00A30F5F" w:rsidP="00A30F5F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 xml:space="preserve">Počet objektů pro oblast dle filtru, ve kterých se byty nacházejí. Report umožňuje uživateli rozpad na detail typu jednotlivých budov, </w:t>
            </w:r>
            <w:proofErr w:type="gramStart"/>
            <w:r w:rsidRPr="00B3376E">
              <w:rPr>
                <w:rFonts w:asciiTheme="minorHAnsi" w:hAnsiTheme="minorHAnsi"/>
                <w:sz w:val="18"/>
                <w:szCs w:val="18"/>
              </w:rPr>
              <w:t>tzn.</w:t>
            </w:r>
            <w:proofErr w:type="gramEnd"/>
            <w:r w:rsidRPr="00B3376E">
              <w:rPr>
                <w:rFonts w:asciiTheme="minorHAnsi" w:hAnsiTheme="minorHAnsi"/>
                <w:sz w:val="18"/>
                <w:szCs w:val="18"/>
              </w:rPr>
              <w:t xml:space="preserve"> zobrazit kolik bytů se </w:t>
            </w:r>
            <w:proofErr w:type="gramStart"/>
            <w:r w:rsidRPr="00B3376E">
              <w:rPr>
                <w:rFonts w:asciiTheme="minorHAnsi" w:hAnsiTheme="minorHAnsi"/>
                <w:sz w:val="18"/>
                <w:szCs w:val="18"/>
              </w:rPr>
              <w:t>nachází</w:t>
            </w:r>
            <w:proofErr w:type="gramEnd"/>
            <w:r w:rsidRPr="00B3376E">
              <w:rPr>
                <w:rFonts w:asciiTheme="minorHAnsi" w:hAnsiTheme="minorHAnsi"/>
                <w:sz w:val="18"/>
                <w:szCs w:val="18"/>
              </w:rPr>
              <w:t xml:space="preserve"> v jednotlivých typech budov. </w:t>
            </w:r>
          </w:p>
        </w:tc>
        <w:tc>
          <w:tcPr>
            <w:tcW w:w="738" w:type="pct"/>
          </w:tcPr>
          <w:p w14:paraId="713FA0A7" w14:textId="48669CEA" w:rsidR="00A30F5F" w:rsidRPr="00B3376E" w:rsidRDefault="00A30F5F" w:rsidP="00A30F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Hodnota</w:t>
            </w:r>
          </w:p>
        </w:tc>
        <w:tc>
          <w:tcPr>
            <w:tcW w:w="646" w:type="pct"/>
          </w:tcPr>
          <w:p w14:paraId="22590461" w14:textId="6CA7550B" w:rsidR="00A30F5F" w:rsidRPr="00B3376E" w:rsidRDefault="00171619" w:rsidP="00A30F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 xml:space="preserve">SAP </w:t>
            </w:r>
            <w:r w:rsidR="00A30F5F" w:rsidRPr="00B3376E">
              <w:rPr>
                <w:rFonts w:asciiTheme="minorHAnsi" w:hAnsiTheme="minorHAnsi"/>
                <w:sz w:val="18"/>
                <w:szCs w:val="18"/>
              </w:rPr>
              <w:t>REM</w:t>
            </w:r>
          </w:p>
        </w:tc>
        <w:tc>
          <w:tcPr>
            <w:tcW w:w="806" w:type="pct"/>
          </w:tcPr>
          <w:p w14:paraId="632C099E" w14:textId="1CD3327C" w:rsidR="00A30F5F" w:rsidRPr="00B3376E" w:rsidRDefault="00A30F5F" w:rsidP="00A30F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A30F5F" w14:paraId="076F26F8" w14:textId="2B79CCFD" w:rsidTr="00B337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" w:type="pct"/>
            <w:vAlign w:val="center"/>
          </w:tcPr>
          <w:p w14:paraId="759BAAD9" w14:textId="0C59CF6B" w:rsidR="00A30F5F" w:rsidRPr="00AD4A2A" w:rsidRDefault="00E1718D" w:rsidP="00A30F5F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A3</w:t>
            </w:r>
          </w:p>
        </w:tc>
        <w:tc>
          <w:tcPr>
            <w:tcW w:w="1099" w:type="pct"/>
            <w:vAlign w:val="center"/>
          </w:tcPr>
          <w:p w14:paraId="6FF63E4C" w14:textId="2781C931" w:rsidR="00A30F5F" w:rsidRPr="00B3376E" w:rsidRDefault="00E1718D" w:rsidP="00A30F5F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Průměrná sazba za měsíc na m</w:t>
            </w:r>
            <w:r w:rsidRPr="00B3376E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40" w:type="pct"/>
          </w:tcPr>
          <w:p w14:paraId="54C0E71D" w14:textId="39DF73A2" w:rsidR="00A30F5F" w:rsidRPr="00B3376E" w:rsidRDefault="00E1718D" w:rsidP="00A30F5F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Průměrná sazba za m</w:t>
            </w:r>
            <w:r w:rsidRPr="00B3376E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  <w:r w:rsidRPr="00B3376E">
              <w:rPr>
                <w:rFonts w:asciiTheme="minorHAnsi" w:hAnsiTheme="minorHAnsi"/>
                <w:sz w:val="18"/>
                <w:szCs w:val="18"/>
              </w:rPr>
              <w:t xml:space="preserve"> pro vybranou oblast, započtené jsou pouze byty s platnými smlouvami.</w:t>
            </w:r>
          </w:p>
        </w:tc>
        <w:tc>
          <w:tcPr>
            <w:tcW w:w="738" w:type="pct"/>
          </w:tcPr>
          <w:p w14:paraId="6130882C" w14:textId="06ECB883" w:rsidR="00A30F5F" w:rsidRPr="00B3376E" w:rsidRDefault="00E1718D" w:rsidP="00A30F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Hodnota</w:t>
            </w:r>
          </w:p>
        </w:tc>
        <w:tc>
          <w:tcPr>
            <w:tcW w:w="646" w:type="pct"/>
          </w:tcPr>
          <w:p w14:paraId="2EDADF78" w14:textId="7C9FA7C3" w:rsidR="00A30F5F" w:rsidRPr="00B3376E" w:rsidRDefault="00E1718D" w:rsidP="00A30F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806" w:type="pct"/>
          </w:tcPr>
          <w:p w14:paraId="7AB9D089" w14:textId="5C9D465A" w:rsidR="00A30F5F" w:rsidRPr="00B3376E" w:rsidRDefault="00E1718D" w:rsidP="00A30F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A30F5F" w14:paraId="1348994F" w14:textId="458214AD" w:rsidTr="00B3376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" w:type="pct"/>
            <w:vAlign w:val="center"/>
          </w:tcPr>
          <w:p w14:paraId="4E36ACFE" w14:textId="1919CE6E" w:rsidR="00A30F5F" w:rsidRPr="00AD4A2A" w:rsidRDefault="000442BE" w:rsidP="00A30F5F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A4</w:t>
            </w:r>
          </w:p>
        </w:tc>
        <w:tc>
          <w:tcPr>
            <w:tcW w:w="1099" w:type="pct"/>
            <w:vAlign w:val="center"/>
          </w:tcPr>
          <w:p w14:paraId="22976F41" w14:textId="5AB610C9" w:rsidR="00A30F5F" w:rsidRPr="00B3376E" w:rsidRDefault="000442BE" w:rsidP="00A30F5F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 xml:space="preserve">Podíl nepronajatých </w:t>
            </w:r>
            <w:proofErr w:type="spellStart"/>
            <w:r w:rsidRPr="00B3376E">
              <w:rPr>
                <w:rFonts w:asciiTheme="minorHAnsi" w:hAnsiTheme="minorHAnsi"/>
                <w:sz w:val="18"/>
                <w:szCs w:val="18"/>
              </w:rPr>
              <w:t>obsaditelných</w:t>
            </w:r>
            <w:proofErr w:type="spellEnd"/>
            <w:r w:rsidRPr="00B3376E">
              <w:rPr>
                <w:rFonts w:asciiTheme="minorHAnsi" w:hAnsiTheme="minorHAnsi"/>
                <w:sz w:val="18"/>
                <w:szCs w:val="18"/>
              </w:rPr>
              <w:t xml:space="preserve"> bytů</w:t>
            </w:r>
          </w:p>
        </w:tc>
        <w:tc>
          <w:tcPr>
            <w:tcW w:w="1340" w:type="pct"/>
          </w:tcPr>
          <w:p w14:paraId="2693E86E" w14:textId="5CD03F10" w:rsidR="00A30F5F" w:rsidRPr="00B3376E" w:rsidRDefault="000442BE" w:rsidP="00A30F5F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 xml:space="preserve">Hodnota vyjadřuje procentuální zastoupení bytů, které lze pronajmout (z technického hlediska a dalších hledisek je v pořádku), avšak aktuálně nejsou </w:t>
            </w:r>
            <w:r w:rsidRPr="00B3376E">
              <w:rPr>
                <w:rFonts w:asciiTheme="minorHAnsi" w:hAnsiTheme="minorHAnsi"/>
                <w:sz w:val="18"/>
                <w:szCs w:val="18"/>
              </w:rPr>
              <w:lastRenderedPageBreak/>
              <w:t>pronajaty k celkovému počtu pronajímatelných bytů.</w:t>
            </w:r>
          </w:p>
        </w:tc>
        <w:tc>
          <w:tcPr>
            <w:tcW w:w="738" w:type="pct"/>
          </w:tcPr>
          <w:p w14:paraId="6FA4E3E6" w14:textId="57232164" w:rsidR="00A30F5F" w:rsidRPr="00B3376E" w:rsidRDefault="000442BE" w:rsidP="00A30F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lastRenderedPageBreak/>
              <w:t>Hodnota</w:t>
            </w:r>
          </w:p>
        </w:tc>
        <w:tc>
          <w:tcPr>
            <w:tcW w:w="646" w:type="pct"/>
          </w:tcPr>
          <w:p w14:paraId="45DEC05F" w14:textId="46BA5030" w:rsidR="00A30F5F" w:rsidRPr="00B3376E" w:rsidRDefault="000442BE" w:rsidP="00A30F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806" w:type="pct"/>
          </w:tcPr>
          <w:p w14:paraId="2A6002E5" w14:textId="17E1CBD5" w:rsidR="00A30F5F" w:rsidRPr="00B3376E" w:rsidRDefault="000442BE" w:rsidP="00A30F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0442BE" w14:paraId="13D62F11" w14:textId="77777777" w:rsidTr="00B337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" w:type="pct"/>
            <w:vAlign w:val="center"/>
          </w:tcPr>
          <w:p w14:paraId="38759675" w14:textId="167A06C2" w:rsidR="000442BE" w:rsidRDefault="000442BE" w:rsidP="00FF54E1">
            <w:pPr>
              <w:spacing w:after="240" w:line="264" w:lineRule="auto"/>
              <w:jc w:val="both"/>
            </w:pPr>
            <w:r w:rsidRPr="00FF54E1">
              <w:rPr>
                <w:rFonts w:asciiTheme="minorHAnsi" w:hAnsiTheme="minorHAnsi"/>
              </w:rPr>
              <w:t>A5</w:t>
            </w:r>
          </w:p>
        </w:tc>
        <w:tc>
          <w:tcPr>
            <w:tcW w:w="1099" w:type="pct"/>
            <w:vAlign w:val="center"/>
          </w:tcPr>
          <w:p w14:paraId="1219E657" w14:textId="0C627976" w:rsidR="000442BE" w:rsidRPr="00B3376E" w:rsidRDefault="000442BE" w:rsidP="00A30F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 xml:space="preserve">Počet bytových jednotek dle </w:t>
            </w:r>
            <w:proofErr w:type="gramStart"/>
            <w:r w:rsidRPr="00B3376E">
              <w:rPr>
                <w:rFonts w:asciiTheme="minorHAnsi" w:hAnsiTheme="minorHAnsi"/>
                <w:sz w:val="18"/>
                <w:szCs w:val="18"/>
              </w:rPr>
              <w:t>OŘ</w:t>
            </w:r>
            <w:proofErr w:type="gramEnd"/>
          </w:p>
        </w:tc>
        <w:tc>
          <w:tcPr>
            <w:tcW w:w="1340" w:type="pct"/>
          </w:tcPr>
          <w:p w14:paraId="06A6574C" w14:textId="5E258CC9" w:rsidR="000442BE" w:rsidRPr="00B3376E" w:rsidRDefault="000442BE" w:rsidP="00A30F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 xml:space="preserve">Sloupcový graf vyjadřující počet bytů pro jednotlivé organizační jednotky (OŘ) Správy železnic. Zároveň je zobrazen počet bytů obsazených, neobsazené (=pronajímatelné avšak aktuálně nepronajaté) a </w:t>
            </w:r>
            <w:proofErr w:type="spellStart"/>
            <w:r w:rsidRPr="00B3376E">
              <w:rPr>
                <w:rFonts w:asciiTheme="minorHAnsi" w:hAnsiTheme="minorHAnsi"/>
                <w:sz w:val="18"/>
                <w:szCs w:val="18"/>
              </w:rPr>
              <w:t>neobsaditelné</w:t>
            </w:r>
            <w:proofErr w:type="spellEnd"/>
            <w:r w:rsidRPr="00B3376E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738" w:type="pct"/>
          </w:tcPr>
          <w:p w14:paraId="366FC139" w14:textId="1AA05963" w:rsidR="000442BE" w:rsidRPr="00B3376E" w:rsidRDefault="000442BE" w:rsidP="00A30F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Graf</w:t>
            </w:r>
          </w:p>
        </w:tc>
        <w:tc>
          <w:tcPr>
            <w:tcW w:w="646" w:type="pct"/>
          </w:tcPr>
          <w:p w14:paraId="78546D89" w14:textId="52EADA29" w:rsidR="000442BE" w:rsidRPr="00B3376E" w:rsidRDefault="000442BE" w:rsidP="00A30F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806" w:type="pct"/>
          </w:tcPr>
          <w:p w14:paraId="59FB2C0F" w14:textId="57685C13" w:rsidR="000442BE" w:rsidRPr="00B3376E" w:rsidRDefault="000442BE" w:rsidP="00A30F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372C0F" w14:paraId="7B0291A9" w14:textId="77777777" w:rsidTr="00B3376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" w:type="pct"/>
            <w:vAlign w:val="center"/>
          </w:tcPr>
          <w:p w14:paraId="3BC4F5F5" w14:textId="0A7E1352" w:rsidR="00372C0F" w:rsidRDefault="00372C0F" w:rsidP="00FF54E1">
            <w:pPr>
              <w:spacing w:after="240" w:line="264" w:lineRule="auto"/>
              <w:jc w:val="both"/>
            </w:pPr>
            <w:r w:rsidRPr="00FF54E1">
              <w:rPr>
                <w:rFonts w:asciiTheme="minorHAnsi" w:hAnsiTheme="minorHAnsi"/>
              </w:rPr>
              <w:t>A6</w:t>
            </w:r>
          </w:p>
        </w:tc>
        <w:tc>
          <w:tcPr>
            <w:tcW w:w="1099" w:type="pct"/>
            <w:vAlign w:val="center"/>
          </w:tcPr>
          <w:p w14:paraId="0E1C8615" w14:textId="5477112B" w:rsidR="00372C0F" w:rsidRPr="00B3376E" w:rsidRDefault="00372C0F" w:rsidP="00A30F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Využití bytových prostor v m</w:t>
            </w:r>
            <w:r w:rsidRPr="00B3376E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40" w:type="pct"/>
          </w:tcPr>
          <w:p w14:paraId="77509171" w14:textId="668F50BF" w:rsidR="00372C0F" w:rsidRPr="00B3376E" w:rsidRDefault="00372C0F" w:rsidP="00A30F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Sloupcový graf vyjadřující rozsah (v m</w:t>
            </w:r>
            <w:r w:rsidRPr="00B3376E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  <w:r w:rsidRPr="00B3376E">
              <w:rPr>
                <w:rFonts w:asciiTheme="minorHAnsi" w:hAnsiTheme="minorHAnsi"/>
                <w:sz w:val="18"/>
                <w:szCs w:val="18"/>
              </w:rPr>
              <w:t xml:space="preserve">) bytových prostor ve vybrané oblasti. Toto zobrazení je zároveň děleno na velikost bytových prostor obsazených, nepronajatých a </w:t>
            </w:r>
            <w:proofErr w:type="spellStart"/>
            <w:r w:rsidRPr="00B3376E">
              <w:rPr>
                <w:rFonts w:asciiTheme="minorHAnsi" w:hAnsiTheme="minorHAnsi"/>
                <w:sz w:val="18"/>
                <w:szCs w:val="18"/>
              </w:rPr>
              <w:t>neobsaditelných</w:t>
            </w:r>
            <w:proofErr w:type="spellEnd"/>
            <w:r w:rsidRPr="00B3376E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738" w:type="pct"/>
          </w:tcPr>
          <w:p w14:paraId="68E896A2" w14:textId="085852F7" w:rsidR="00372C0F" w:rsidRPr="00B3376E" w:rsidRDefault="00372C0F" w:rsidP="00A30F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Graf</w:t>
            </w:r>
          </w:p>
        </w:tc>
        <w:tc>
          <w:tcPr>
            <w:tcW w:w="646" w:type="pct"/>
          </w:tcPr>
          <w:p w14:paraId="3DE7A4FC" w14:textId="7515B0C9" w:rsidR="00372C0F" w:rsidRPr="00B3376E" w:rsidRDefault="00372C0F" w:rsidP="00A30F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806" w:type="pct"/>
          </w:tcPr>
          <w:p w14:paraId="7AB1331B" w14:textId="4BB03402" w:rsidR="00372C0F" w:rsidRPr="00B3376E" w:rsidRDefault="00372C0F" w:rsidP="00A30F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372C0F" w14:paraId="06B765FE" w14:textId="77777777" w:rsidTr="00B337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" w:type="pct"/>
            <w:vAlign w:val="center"/>
          </w:tcPr>
          <w:p w14:paraId="67AA4D4B" w14:textId="724525E8" w:rsidR="00372C0F" w:rsidRDefault="00372C0F" w:rsidP="00FF54E1">
            <w:pPr>
              <w:spacing w:after="240" w:line="264" w:lineRule="auto"/>
              <w:jc w:val="both"/>
            </w:pPr>
            <w:r w:rsidRPr="00FF54E1">
              <w:rPr>
                <w:rFonts w:asciiTheme="minorHAnsi" w:hAnsiTheme="minorHAnsi"/>
              </w:rPr>
              <w:t>A7</w:t>
            </w:r>
          </w:p>
        </w:tc>
        <w:tc>
          <w:tcPr>
            <w:tcW w:w="1099" w:type="pct"/>
            <w:vAlign w:val="center"/>
          </w:tcPr>
          <w:p w14:paraId="0B643208" w14:textId="0D2A4734" w:rsidR="00372C0F" w:rsidRPr="00B3376E" w:rsidRDefault="00372C0F" w:rsidP="00A30F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Průměrná sazba za měsíc na m</w:t>
            </w:r>
            <w:r w:rsidRPr="00B3376E">
              <w:rPr>
                <w:rFonts w:asciiTheme="minorHAnsi" w:hAnsiTheme="minorHAnsi"/>
                <w:sz w:val="18"/>
                <w:szCs w:val="18"/>
                <w:vertAlign w:val="superscript"/>
              </w:rPr>
              <w:t xml:space="preserve">2 </w:t>
            </w:r>
            <w:r w:rsidRPr="00B3376E">
              <w:rPr>
                <w:rFonts w:asciiTheme="minorHAnsi" w:hAnsiTheme="minorHAnsi"/>
                <w:sz w:val="18"/>
                <w:szCs w:val="18"/>
              </w:rPr>
              <w:t>pro jednotlivé OŘ</w:t>
            </w:r>
          </w:p>
        </w:tc>
        <w:tc>
          <w:tcPr>
            <w:tcW w:w="1340" w:type="pct"/>
          </w:tcPr>
          <w:p w14:paraId="1DE01315" w14:textId="24CA637B" w:rsidR="00372C0F" w:rsidRPr="00B3376E" w:rsidRDefault="00372C0F" w:rsidP="00A30F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Sloupcový graf porovnávající průměrnou sazbu za m2 pro jednotlivé organizační jednotky (OŘ).</w:t>
            </w:r>
          </w:p>
        </w:tc>
        <w:tc>
          <w:tcPr>
            <w:tcW w:w="738" w:type="pct"/>
          </w:tcPr>
          <w:p w14:paraId="3848CC9E" w14:textId="6A36C238" w:rsidR="00372C0F" w:rsidRPr="00B3376E" w:rsidRDefault="00372C0F" w:rsidP="00A30F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Graf</w:t>
            </w:r>
          </w:p>
        </w:tc>
        <w:tc>
          <w:tcPr>
            <w:tcW w:w="646" w:type="pct"/>
          </w:tcPr>
          <w:p w14:paraId="5BDEA7E2" w14:textId="17847EB0" w:rsidR="00372C0F" w:rsidRPr="00B3376E" w:rsidRDefault="00372C0F" w:rsidP="00A30F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806" w:type="pct"/>
          </w:tcPr>
          <w:p w14:paraId="07DB64D1" w14:textId="7E74454C" w:rsidR="00372C0F" w:rsidRPr="00B3376E" w:rsidRDefault="00372C0F" w:rsidP="00A30F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372C0F" w14:paraId="7D022AC5" w14:textId="77777777" w:rsidTr="00B3376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" w:type="pct"/>
            <w:vAlign w:val="center"/>
          </w:tcPr>
          <w:p w14:paraId="5F873D0F" w14:textId="63945ABA" w:rsidR="00372C0F" w:rsidRDefault="00372C0F" w:rsidP="00FF54E1">
            <w:pPr>
              <w:spacing w:after="240" w:line="264" w:lineRule="auto"/>
              <w:jc w:val="both"/>
            </w:pPr>
            <w:r w:rsidRPr="00FF54E1">
              <w:rPr>
                <w:rFonts w:asciiTheme="minorHAnsi" w:hAnsiTheme="minorHAnsi"/>
              </w:rPr>
              <w:t>A8</w:t>
            </w:r>
          </w:p>
        </w:tc>
        <w:tc>
          <w:tcPr>
            <w:tcW w:w="1099" w:type="pct"/>
            <w:vAlign w:val="center"/>
          </w:tcPr>
          <w:p w14:paraId="623E595D" w14:textId="31A9528E" w:rsidR="00372C0F" w:rsidRPr="00B3376E" w:rsidRDefault="00372C0F" w:rsidP="00A30F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Počet smluv na dobu určitou/neurčitou</w:t>
            </w:r>
          </w:p>
        </w:tc>
        <w:tc>
          <w:tcPr>
            <w:tcW w:w="1340" w:type="pct"/>
          </w:tcPr>
          <w:p w14:paraId="0CF73ABA" w14:textId="39FF182C" w:rsidR="00372C0F" w:rsidRPr="00B3376E" w:rsidRDefault="00372C0F" w:rsidP="00A30F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Graf (sloupcový, koláčový) porovnávající počet smluv uzavřených na dobu určitou a na dobu neurčitou.</w:t>
            </w:r>
          </w:p>
        </w:tc>
        <w:tc>
          <w:tcPr>
            <w:tcW w:w="738" w:type="pct"/>
          </w:tcPr>
          <w:p w14:paraId="0394A14E" w14:textId="3BC862D3" w:rsidR="00372C0F" w:rsidRPr="00B3376E" w:rsidRDefault="00372C0F" w:rsidP="00A30F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Graf</w:t>
            </w:r>
          </w:p>
        </w:tc>
        <w:tc>
          <w:tcPr>
            <w:tcW w:w="646" w:type="pct"/>
          </w:tcPr>
          <w:p w14:paraId="77FCD57F" w14:textId="33946338" w:rsidR="00372C0F" w:rsidRPr="00B3376E" w:rsidRDefault="00372C0F" w:rsidP="00A30F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806" w:type="pct"/>
          </w:tcPr>
          <w:p w14:paraId="399750C3" w14:textId="6FFF060B" w:rsidR="00372C0F" w:rsidRPr="00B3376E" w:rsidRDefault="00372C0F" w:rsidP="00A30F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372C0F" w14:paraId="1FC5727E" w14:textId="77777777" w:rsidTr="00B337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" w:type="pct"/>
            <w:vAlign w:val="center"/>
          </w:tcPr>
          <w:p w14:paraId="44FD60A1" w14:textId="0F31E709" w:rsidR="00372C0F" w:rsidRDefault="00372C0F" w:rsidP="00FF54E1">
            <w:pPr>
              <w:spacing w:after="240" w:line="264" w:lineRule="auto"/>
              <w:jc w:val="both"/>
            </w:pPr>
            <w:r w:rsidRPr="00FF54E1">
              <w:rPr>
                <w:rFonts w:asciiTheme="minorHAnsi" w:hAnsiTheme="minorHAnsi"/>
              </w:rPr>
              <w:t>A9</w:t>
            </w:r>
          </w:p>
        </w:tc>
        <w:tc>
          <w:tcPr>
            <w:tcW w:w="1099" w:type="pct"/>
            <w:vAlign w:val="center"/>
          </w:tcPr>
          <w:p w14:paraId="4770EA5D" w14:textId="381F6983" w:rsidR="00372C0F" w:rsidRPr="00B3376E" w:rsidRDefault="00372C0F" w:rsidP="00A30F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Výnosy a provozní náklady za posledních 5 let (zohledněn pouze filtr OŘ)</w:t>
            </w:r>
          </w:p>
        </w:tc>
        <w:tc>
          <w:tcPr>
            <w:tcW w:w="1340" w:type="pct"/>
          </w:tcPr>
          <w:p w14:paraId="51DBBE83" w14:textId="67FF6F3B" w:rsidR="00372C0F" w:rsidRPr="00B3376E" w:rsidRDefault="00372C0F" w:rsidP="00A30F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Vývojový graf vyjadřující roční vývoj výnosů a nákladů pro byty ve vybrané oblasti.</w:t>
            </w:r>
          </w:p>
        </w:tc>
        <w:tc>
          <w:tcPr>
            <w:tcW w:w="738" w:type="pct"/>
          </w:tcPr>
          <w:p w14:paraId="7628816D" w14:textId="7518F7CB" w:rsidR="00372C0F" w:rsidRPr="00B3376E" w:rsidRDefault="00372C0F" w:rsidP="00A30F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Graf</w:t>
            </w:r>
          </w:p>
        </w:tc>
        <w:tc>
          <w:tcPr>
            <w:tcW w:w="646" w:type="pct"/>
          </w:tcPr>
          <w:p w14:paraId="0AFA2AA3" w14:textId="6196FC54" w:rsidR="00372C0F" w:rsidRPr="00B3376E" w:rsidRDefault="00372C0F" w:rsidP="00A30F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SAP CO</w:t>
            </w:r>
          </w:p>
        </w:tc>
        <w:tc>
          <w:tcPr>
            <w:tcW w:w="806" w:type="pct"/>
          </w:tcPr>
          <w:p w14:paraId="3A426264" w14:textId="0ACF076F" w:rsidR="00372C0F" w:rsidRPr="00B3376E" w:rsidRDefault="00372C0F" w:rsidP="00A30F5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4E5319" w14:paraId="0C3A649B" w14:textId="77777777" w:rsidTr="00B3376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" w:type="pct"/>
            <w:vAlign w:val="center"/>
          </w:tcPr>
          <w:p w14:paraId="43614322" w14:textId="007B5D76" w:rsidR="004E5319" w:rsidRDefault="004E5319" w:rsidP="00FF54E1">
            <w:pPr>
              <w:spacing w:after="240" w:line="264" w:lineRule="auto"/>
              <w:jc w:val="both"/>
            </w:pPr>
            <w:r w:rsidRPr="00FF54E1">
              <w:rPr>
                <w:rFonts w:asciiTheme="minorHAnsi" w:hAnsiTheme="minorHAnsi"/>
              </w:rPr>
              <w:t>A10</w:t>
            </w:r>
          </w:p>
        </w:tc>
        <w:tc>
          <w:tcPr>
            <w:tcW w:w="1099" w:type="pct"/>
            <w:vAlign w:val="center"/>
          </w:tcPr>
          <w:p w14:paraId="05594F6A" w14:textId="7C68119F" w:rsidR="004E5319" w:rsidRPr="00B3376E" w:rsidRDefault="004E5319" w:rsidP="00A30F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Záměr s volnými byty</w:t>
            </w:r>
          </w:p>
        </w:tc>
        <w:tc>
          <w:tcPr>
            <w:tcW w:w="1340" w:type="pct"/>
          </w:tcPr>
          <w:p w14:paraId="4E4843BD" w14:textId="1B4417A2" w:rsidR="004E5319" w:rsidRPr="00B3376E" w:rsidRDefault="004E5319" w:rsidP="00A30F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Vyjádření záměru s byty - oprava/rekonstrukce, k obsazení, změna účelu využití, prodej, demolice.</w:t>
            </w:r>
          </w:p>
        </w:tc>
        <w:tc>
          <w:tcPr>
            <w:tcW w:w="738" w:type="pct"/>
          </w:tcPr>
          <w:p w14:paraId="455B8646" w14:textId="3F5514C1" w:rsidR="004E5319" w:rsidRPr="00B3376E" w:rsidRDefault="00171619" w:rsidP="00A30F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Koláčový graf</w:t>
            </w:r>
          </w:p>
        </w:tc>
        <w:tc>
          <w:tcPr>
            <w:tcW w:w="646" w:type="pct"/>
          </w:tcPr>
          <w:p w14:paraId="633AF263" w14:textId="6217DEBA" w:rsidR="004E5319" w:rsidRPr="00B3376E" w:rsidRDefault="00171619" w:rsidP="00A30F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Nový parametr</w:t>
            </w:r>
          </w:p>
        </w:tc>
        <w:tc>
          <w:tcPr>
            <w:tcW w:w="806" w:type="pct"/>
          </w:tcPr>
          <w:p w14:paraId="67719A54" w14:textId="7FF56CD7" w:rsidR="004E5319" w:rsidRPr="00B3376E" w:rsidRDefault="00171619" w:rsidP="00A30F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</w:tbl>
    <w:p w14:paraId="1576AD9F" w14:textId="0D685989" w:rsidR="00B33FB6" w:rsidRDefault="00B33FB6" w:rsidP="008C6BB8">
      <w:pPr>
        <w:rPr>
          <w:sz w:val="20"/>
          <w:szCs w:val="20"/>
        </w:rPr>
      </w:pPr>
    </w:p>
    <w:p w14:paraId="773F9A22" w14:textId="2F939884" w:rsidR="00B33FB6" w:rsidRDefault="00B33FB6">
      <w:pPr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1D4C84">
        <w:rPr>
          <w:noProof/>
          <w:sz w:val="20"/>
          <w:szCs w:val="20"/>
          <w:lang w:eastAsia="cs-CZ"/>
        </w:rPr>
        <w:lastRenderedPageBreak/>
        <w:drawing>
          <wp:inline distT="0" distB="0" distL="0" distR="0" wp14:anchorId="4C4EDD63" wp14:editId="4332B2A6">
            <wp:extent cx="5576400" cy="3150000"/>
            <wp:effectExtent l="0" t="0" r="5715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port2A_1.png"/>
                    <pic:cNvPicPr/>
                  </pic:nvPicPr>
                  <pic:blipFill>
                    <a:blip r:embed="rId11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6400" cy="31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CF907" w14:textId="653D315A" w:rsidR="0012204C" w:rsidRDefault="0012204C" w:rsidP="0012204C">
      <w:pPr>
        <w:jc w:val="center"/>
        <w:rPr>
          <w:sz w:val="20"/>
          <w:szCs w:val="20"/>
        </w:rPr>
      </w:pPr>
      <w:r>
        <w:rPr>
          <w:sz w:val="20"/>
          <w:szCs w:val="20"/>
        </w:rPr>
        <w:t>Obr. 1</w:t>
      </w:r>
    </w:p>
    <w:p w14:paraId="58D3F3B4" w14:textId="0DDD8E31" w:rsidR="00FF54E1" w:rsidRDefault="00FF54E1" w:rsidP="008C6BB8">
      <w:pPr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drawing>
          <wp:inline distT="0" distB="0" distL="0" distR="0" wp14:anchorId="07A49345" wp14:editId="4E0C37C6">
            <wp:extent cx="5648400" cy="3175200"/>
            <wp:effectExtent l="0" t="0" r="0" b="635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port2A_3.png"/>
                    <pic:cNvPicPr/>
                  </pic:nvPicPr>
                  <pic:blipFill>
                    <a:blip r:embed="rId12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8400" cy="317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543F8" w14:textId="3957F76A" w:rsidR="00A30F5F" w:rsidRPr="008C6BB8" w:rsidRDefault="0012204C" w:rsidP="0012204C">
      <w:pPr>
        <w:jc w:val="center"/>
        <w:rPr>
          <w:sz w:val="20"/>
          <w:szCs w:val="20"/>
        </w:rPr>
      </w:pPr>
      <w:r>
        <w:rPr>
          <w:sz w:val="20"/>
          <w:szCs w:val="20"/>
        </w:rPr>
        <w:t>Obr. 2</w:t>
      </w:r>
    </w:p>
    <w:p w14:paraId="40EA3F6B" w14:textId="4F519D12" w:rsidR="008C6BB8" w:rsidRPr="00863DB9" w:rsidRDefault="004E5319" w:rsidP="00AF7329">
      <w:pPr>
        <w:jc w:val="both"/>
        <w:rPr>
          <w:b/>
          <w:sz w:val="20"/>
          <w:szCs w:val="20"/>
        </w:rPr>
      </w:pPr>
      <w:r w:rsidRPr="00863DB9">
        <w:rPr>
          <w:b/>
          <w:sz w:val="20"/>
          <w:szCs w:val="20"/>
        </w:rPr>
        <w:t>R</w:t>
      </w:r>
      <w:r w:rsidR="00863DB9" w:rsidRPr="00863DB9">
        <w:rPr>
          <w:b/>
          <w:sz w:val="20"/>
          <w:szCs w:val="20"/>
        </w:rPr>
        <w:t>eport 2A</w:t>
      </w:r>
      <w:r w:rsidRPr="00863DB9">
        <w:rPr>
          <w:b/>
          <w:sz w:val="20"/>
          <w:szCs w:val="20"/>
        </w:rPr>
        <w:t>: Seznam bytů</w:t>
      </w:r>
    </w:p>
    <w:p w14:paraId="2BB82B70" w14:textId="569F8D0C" w:rsidR="00863DB9" w:rsidRPr="006E6289" w:rsidRDefault="00863DB9" w:rsidP="00920D54">
      <w:pPr>
        <w:jc w:val="both"/>
      </w:pPr>
      <w:r w:rsidRPr="00920D54">
        <w:rPr>
          <w:sz w:val="20"/>
          <w:szCs w:val="20"/>
        </w:rPr>
        <w:t>Část „Report A: Seznam bytů“ poskytuje detailní informace o bytech, které splňují uživatelem zvolenou kombinací filtrů. Tato část je realizován</w:t>
      </w:r>
      <w:r w:rsidR="0045602E">
        <w:rPr>
          <w:sz w:val="20"/>
          <w:szCs w:val="20"/>
        </w:rPr>
        <w:t>a</w:t>
      </w:r>
      <w:r w:rsidRPr="00920D54">
        <w:rPr>
          <w:sz w:val="20"/>
          <w:szCs w:val="20"/>
        </w:rPr>
        <w:t xml:space="preserve"> ve formě tabulky, kde jednotlivé položky jsou sloupci této tabulky. Tato část zároveň obsahuje hypertextový odkaz na pohled „Report A: Základní přehled“. </w:t>
      </w:r>
      <w:r w:rsidRPr="00920D54">
        <w:rPr>
          <w:b/>
          <w:bCs/>
          <w:sz w:val="20"/>
          <w:szCs w:val="20"/>
        </w:rPr>
        <w:t>Položka A13 „ID Bytu“ zároveň slouží jako hypertextový odkaz na daný byt v Reportu 2B.</w:t>
      </w:r>
      <w:r>
        <w:t xml:space="preserve"> </w:t>
      </w:r>
    </w:p>
    <w:tbl>
      <w:tblPr>
        <w:tblStyle w:val="Tabulkaseznamu3zvraznn1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04"/>
        <w:gridCol w:w="2398"/>
        <w:gridCol w:w="1616"/>
        <w:gridCol w:w="1343"/>
        <w:gridCol w:w="1095"/>
        <w:gridCol w:w="1336"/>
      </w:tblGrid>
      <w:tr w:rsidR="002A19F3" w:rsidRPr="004269EE" w14:paraId="1AC175AD" w14:textId="77777777" w:rsidTr="00A32E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57" w:type="pct"/>
            <w:vAlign w:val="center"/>
          </w:tcPr>
          <w:p w14:paraId="375D6149" w14:textId="77777777" w:rsidR="00863DB9" w:rsidRPr="00AD4A2A" w:rsidRDefault="00863DB9" w:rsidP="0012204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ID</w:t>
            </w:r>
          </w:p>
        </w:tc>
        <w:tc>
          <w:tcPr>
            <w:tcW w:w="1416" w:type="pct"/>
            <w:vAlign w:val="center"/>
          </w:tcPr>
          <w:p w14:paraId="1469F95A" w14:textId="77777777" w:rsidR="00863DB9" w:rsidRPr="00B3376E" w:rsidRDefault="00863DB9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3376E">
              <w:rPr>
                <w:rFonts w:asciiTheme="minorHAnsi" w:hAnsiTheme="minorHAnsi"/>
              </w:rPr>
              <w:t>Položka (název)</w:t>
            </w:r>
          </w:p>
        </w:tc>
        <w:tc>
          <w:tcPr>
            <w:tcW w:w="966" w:type="pct"/>
          </w:tcPr>
          <w:p w14:paraId="408F9E47" w14:textId="77777777" w:rsidR="00863DB9" w:rsidRPr="00B3376E" w:rsidRDefault="00863DB9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3376E">
              <w:rPr>
                <w:rFonts w:asciiTheme="minorHAnsi" w:hAnsiTheme="minorHAnsi"/>
              </w:rPr>
              <w:t>Popis položky</w:t>
            </w:r>
          </w:p>
        </w:tc>
        <w:tc>
          <w:tcPr>
            <w:tcW w:w="809" w:type="pct"/>
          </w:tcPr>
          <w:p w14:paraId="60B7E68D" w14:textId="77777777" w:rsidR="00863DB9" w:rsidRPr="00B3376E" w:rsidRDefault="00863DB9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3376E">
              <w:rPr>
                <w:rFonts w:asciiTheme="minorHAnsi" w:hAnsiTheme="minorHAnsi"/>
              </w:rPr>
              <w:t>Formát zobrazení</w:t>
            </w:r>
          </w:p>
        </w:tc>
        <w:tc>
          <w:tcPr>
            <w:tcW w:w="666" w:type="pct"/>
          </w:tcPr>
          <w:p w14:paraId="0A14AA7C" w14:textId="77777777" w:rsidR="00863DB9" w:rsidRPr="00B3376E" w:rsidRDefault="00863DB9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3376E">
              <w:rPr>
                <w:rFonts w:asciiTheme="minorHAnsi" w:hAnsiTheme="minorHAnsi"/>
              </w:rPr>
              <w:t>Datový zdroj</w:t>
            </w:r>
          </w:p>
        </w:tc>
        <w:tc>
          <w:tcPr>
            <w:tcW w:w="585" w:type="pct"/>
          </w:tcPr>
          <w:p w14:paraId="55DD02CE" w14:textId="77777777" w:rsidR="00863DB9" w:rsidRPr="00B3376E" w:rsidRDefault="00863DB9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B3376E">
              <w:rPr>
                <w:rFonts w:asciiTheme="minorHAnsi" w:hAnsiTheme="minorHAnsi"/>
              </w:rPr>
              <w:t>Způsob předávání dat</w:t>
            </w:r>
          </w:p>
        </w:tc>
      </w:tr>
      <w:tr w:rsidR="002A19F3" w14:paraId="2930FE2B" w14:textId="77777777" w:rsidTr="00A32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0ACC235A" w14:textId="51DF0D0E" w:rsidR="00863DB9" w:rsidRPr="00AD4A2A" w:rsidRDefault="00863DB9" w:rsidP="0012204C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A11</w:t>
            </w:r>
          </w:p>
        </w:tc>
        <w:tc>
          <w:tcPr>
            <w:tcW w:w="1416" w:type="pct"/>
            <w:vAlign w:val="center"/>
          </w:tcPr>
          <w:p w14:paraId="5474DB55" w14:textId="69518424" w:rsidR="00863DB9" w:rsidRPr="00B3376E" w:rsidRDefault="00863DB9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Budova</w:t>
            </w:r>
          </w:p>
        </w:tc>
        <w:tc>
          <w:tcPr>
            <w:tcW w:w="966" w:type="pct"/>
          </w:tcPr>
          <w:p w14:paraId="613A9F6C" w14:textId="31341DA9" w:rsidR="00863DB9" w:rsidRPr="00B3376E" w:rsidRDefault="00863DB9" w:rsidP="0012204C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Název Budovy</w:t>
            </w:r>
          </w:p>
        </w:tc>
        <w:tc>
          <w:tcPr>
            <w:tcW w:w="809" w:type="pct"/>
          </w:tcPr>
          <w:p w14:paraId="2102D152" w14:textId="2BC8510F" w:rsidR="00863DB9" w:rsidRPr="00B3376E" w:rsidRDefault="00863DB9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66" w:type="pct"/>
          </w:tcPr>
          <w:p w14:paraId="0424FD86" w14:textId="1B506643" w:rsidR="00863DB9" w:rsidRPr="00B3376E" w:rsidRDefault="00D43061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 xml:space="preserve">SAP </w:t>
            </w:r>
            <w:r w:rsidR="00863DB9" w:rsidRPr="00B3376E">
              <w:rPr>
                <w:rFonts w:asciiTheme="minorHAnsi" w:hAnsiTheme="minorHAnsi"/>
                <w:sz w:val="18"/>
                <w:szCs w:val="18"/>
              </w:rPr>
              <w:t>REM</w:t>
            </w:r>
          </w:p>
        </w:tc>
        <w:tc>
          <w:tcPr>
            <w:tcW w:w="585" w:type="pct"/>
          </w:tcPr>
          <w:p w14:paraId="1A1EC324" w14:textId="77777777" w:rsidR="00863DB9" w:rsidRPr="00B3376E" w:rsidRDefault="00863DB9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2A19F3" w:rsidRPr="00011CD1" w14:paraId="635E31FD" w14:textId="77777777" w:rsidTr="00A32E8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5793730A" w14:textId="5CC908C8" w:rsidR="00863DB9" w:rsidRPr="00AD4A2A" w:rsidRDefault="00863DB9" w:rsidP="0012204C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A12</w:t>
            </w:r>
          </w:p>
        </w:tc>
        <w:tc>
          <w:tcPr>
            <w:tcW w:w="1416" w:type="pct"/>
            <w:vAlign w:val="center"/>
          </w:tcPr>
          <w:p w14:paraId="4EB1220B" w14:textId="5F41DEA5" w:rsidR="00863DB9" w:rsidRPr="00B3376E" w:rsidRDefault="00863DB9" w:rsidP="0012204C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Typ budovy</w:t>
            </w:r>
          </w:p>
        </w:tc>
        <w:tc>
          <w:tcPr>
            <w:tcW w:w="966" w:type="pct"/>
            <w:vAlign w:val="center"/>
          </w:tcPr>
          <w:p w14:paraId="7C73F0E9" w14:textId="2CE16710" w:rsidR="00863DB9" w:rsidRPr="00B3376E" w:rsidRDefault="00863DB9" w:rsidP="0012204C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Typ dané budovy dle číselníku SŽ</w:t>
            </w:r>
          </w:p>
        </w:tc>
        <w:tc>
          <w:tcPr>
            <w:tcW w:w="809" w:type="pct"/>
          </w:tcPr>
          <w:p w14:paraId="06EE1096" w14:textId="7E86B88F" w:rsidR="00863DB9" w:rsidRPr="00B3376E" w:rsidRDefault="00863DB9" w:rsidP="001220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66" w:type="pct"/>
          </w:tcPr>
          <w:p w14:paraId="75FEFA5E" w14:textId="6A8CC93A" w:rsidR="00863DB9" w:rsidRPr="00B3376E" w:rsidRDefault="00D43061" w:rsidP="001220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 xml:space="preserve">SAP </w:t>
            </w:r>
            <w:r w:rsidR="00863DB9" w:rsidRPr="00B3376E">
              <w:rPr>
                <w:rFonts w:asciiTheme="minorHAnsi" w:hAnsiTheme="minorHAnsi"/>
                <w:sz w:val="18"/>
                <w:szCs w:val="18"/>
              </w:rPr>
              <w:t>REM</w:t>
            </w:r>
          </w:p>
        </w:tc>
        <w:tc>
          <w:tcPr>
            <w:tcW w:w="585" w:type="pct"/>
          </w:tcPr>
          <w:p w14:paraId="51D7EAF9" w14:textId="77777777" w:rsidR="00863DB9" w:rsidRPr="00B3376E" w:rsidRDefault="00863DB9" w:rsidP="001220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2A19F3" w14:paraId="2B02598A" w14:textId="77777777" w:rsidTr="00A32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2FB0A774" w14:textId="77515F55" w:rsidR="00863DB9" w:rsidRPr="00AD4A2A" w:rsidRDefault="00863DB9" w:rsidP="0012204C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A13</w:t>
            </w:r>
          </w:p>
        </w:tc>
        <w:tc>
          <w:tcPr>
            <w:tcW w:w="1416" w:type="pct"/>
            <w:vAlign w:val="center"/>
          </w:tcPr>
          <w:p w14:paraId="2714E03D" w14:textId="27F7B806" w:rsidR="00863DB9" w:rsidRPr="00B3376E" w:rsidRDefault="00863DB9" w:rsidP="0012204C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ID bytu</w:t>
            </w:r>
          </w:p>
        </w:tc>
        <w:tc>
          <w:tcPr>
            <w:tcW w:w="966" w:type="pct"/>
          </w:tcPr>
          <w:p w14:paraId="66EB487E" w14:textId="02F989C8" w:rsidR="00863DB9" w:rsidRPr="00B3376E" w:rsidRDefault="00863DB9" w:rsidP="0012204C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ID Nájemního objektu. Hypertextový odkaz na Report B (po kliknutí se zobrazí Report B pro daný byt)</w:t>
            </w:r>
          </w:p>
        </w:tc>
        <w:tc>
          <w:tcPr>
            <w:tcW w:w="809" w:type="pct"/>
          </w:tcPr>
          <w:p w14:paraId="6B48FCC9" w14:textId="394D9AD9" w:rsidR="00863DB9" w:rsidRPr="00B3376E" w:rsidRDefault="00863DB9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66" w:type="pct"/>
          </w:tcPr>
          <w:p w14:paraId="6A16A440" w14:textId="6DF65858" w:rsidR="00863DB9" w:rsidRPr="00B3376E" w:rsidRDefault="00D43061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 xml:space="preserve">SAP </w:t>
            </w:r>
            <w:r w:rsidR="00863DB9" w:rsidRPr="00B3376E">
              <w:rPr>
                <w:rFonts w:asciiTheme="minorHAnsi" w:hAnsiTheme="minorHAnsi"/>
                <w:sz w:val="18"/>
                <w:szCs w:val="18"/>
              </w:rPr>
              <w:t>REM</w:t>
            </w:r>
          </w:p>
        </w:tc>
        <w:tc>
          <w:tcPr>
            <w:tcW w:w="585" w:type="pct"/>
          </w:tcPr>
          <w:p w14:paraId="01A8278F" w14:textId="77777777" w:rsidR="00863DB9" w:rsidRPr="00B3376E" w:rsidRDefault="00863DB9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2A19F3" w14:paraId="3CE49122" w14:textId="77777777" w:rsidTr="00A32E8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1431CCA4" w14:textId="62A83183" w:rsidR="00863DB9" w:rsidRPr="00AD4A2A" w:rsidRDefault="00863DB9" w:rsidP="0012204C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</w:t>
            </w:r>
            <w:r w:rsidR="002A19F3">
              <w:rPr>
                <w:rFonts w:asciiTheme="minorHAnsi" w:hAnsiTheme="minorHAnsi"/>
              </w:rPr>
              <w:t>14</w:t>
            </w:r>
          </w:p>
        </w:tc>
        <w:tc>
          <w:tcPr>
            <w:tcW w:w="1416" w:type="pct"/>
            <w:vAlign w:val="center"/>
          </w:tcPr>
          <w:p w14:paraId="558475D3" w14:textId="24CBDFC0" w:rsidR="00863DB9" w:rsidRPr="00B3376E" w:rsidRDefault="002A19F3" w:rsidP="0012204C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Nájemní smlouva</w:t>
            </w:r>
          </w:p>
        </w:tc>
        <w:tc>
          <w:tcPr>
            <w:tcW w:w="966" w:type="pct"/>
          </w:tcPr>
          <w:p w14:paraId="55A8F15C" w14:textId="0256DBCC" w:rsidR="00863DB9" w:rsidRPr="00B3376E" w:rsidRDefault="002A19F3" w:rsidP="002A19F3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 xml:space="preserve">Číslo nájemní smlouvy </w:t>
            </w:r>
          </w:p>
        </w:tc>
        <w:tc>
          <w:tcPr>
            <w:tcW w:w="809" w:type="pct"/>
          </w:tcPr>
          <w:p w14:paraId="4D404684" w14:textId="7AC9CDDE" w:rsidR="00863DB9" w:rsidRPr="00B3376E" w:rsidRDefault="002A19F3" w:rsidP="001220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66" w:type="pct"/>
          </w:tcPr>
          <w:p w14:paraId="35DE059A" w14:textId="77777777" w:rsidR="00863DB9" w:rsidRPr="00B3376E" w:rsidRDefault="00863DB9" w:rsidP="001220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</w:tcPr>
          <w:p w14:paraId="2189C202" w14:textId="77777777" w:rsidR="00863DB9" w:rsidRPr="00B3376E" w:rsidRDefault="00863DB9" w:rsidP="001220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863DB9" w14:paraId="0120F225" w14:textId="77777777" w:rsidTr="00A32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27A086FE" w14:textId="2850A213" w:rsidR="00863DB9" w:rsidRDefault="00863DB9" w:rsidP="00FF54E1">
            <w:pPr>
              <w:spacing w:after="240" w:line="264" w:lineRule="auto"/>
              <w:jc w:val="both"/>
            </w:pPr>
            <w:r w:rsidRPr="00FF54E1">
              <w:rPr>
                <w:rFonts w:asciiTheme="minorHAnsi" w:hAnsiTheme="minorHAnsi"/>
              </w:rPr>
              <w:t>A</w:t>
            </w:r>
            <w:r w:rsidR="002A19F3" w:rsidRPr="00FF54E1">
              <w:rPr>
                <w:rFonts w:asciiTheme="minorHAnsi" w:hAnsiTheme="minorHAnsi"/>
              </w:rPr>
              <w:t>1</w:t>
            </w:r>
            <w:r w:rsidRPr="00FF54E1">
              <w:rPr>
                <w:rFonts w:asciiTheme="minorHAnsi" w:hAnsiTheme="minorHAnsi"/>
              </w:rPr>
              <w:t>5</w:t>
            </w:r>
          </w:p>
        </w:tc>
        <w:tc>
          <w:tcPr>
            <w:tcW w:w="1416" w:type="pct"/>
            <w:vAlign w:val="center"/>
          </w:tcPr>
          <w:p w14:paraId="5467763E" w14:textId="66A4B4AA" w:rsidR="00863DB9" w:rsidRPr="00B3376E" w:rsidRDefault="002A19F3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Typ bytu</w:t>
            </w:r>
          </w:p>
        </w:tc>
        <w:tc>
          <w:tcPr>
            <w:tcW w:w="966" w:type="pct"/>
          </w:tcPr>
          <w:p w14:paraId="20301CAA" w14:textId="1F0EEBAA" w:rsidR="00863DB9" w:rsidRPr="00B3376E" w:rsidRDefault="002A19F3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Specifikace využití bytu. Identifikujeme byty standardní, pobídkové nebo byty ve zvláštním režimu.</w:t>
            </w:r>
          </w:p>
        </w:tc>
        <w:tc>
          <w:tcPr>
            <w:tcW w:w="809" w:type="pct"/>
          </w:tcPr>
          <w:p w14:paraId="70C86E10" w14:textId="4E4BE410" w:rsidR="00863DB9" w:rsidRPr="00B3376E" w:rsidRDefault="002A19F3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66" w:type="pct"/>
          </w:tcPr>
          <w:p w14:paraId="54334084" w14:textId="77777777" w:rsidR="00863DB9" w:rsidRPr="00B3376E" w:rsidRDefault="00863DB9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</w:tcPr>
          <w:p w14:paraId="4D3EE696" w14:textId="77777777" w:rsidR="00863DB9" w:rsidRPr="00B3376E" w:rsidRDefault="00863DB9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863DB9" w14:paraId="3307379C" w14:textId="77777777" w:rsidTr="00A32E8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67F62D43" w14:textId="5EB8ED49" w:rsidR="00863DB9" w:rsidRDefault="00863DB9" w:rsidP="00FF54E1">
            <w:pPr>
              <w:spacing w:after="240" w:line="264" w:lineRule="auto"/>
              <w:jc w:val="both"/>
            </w:pPr>
            <w:r w:rsidRPr="00FF54E1">
              <w:rPr>
                <w:rFonts w:asciiTheme="minorHAnsi" w:hAnsiTheme="minorHAnsi"/>
              </w:rPr>
              <w:t>A</w:t>
            </w:r>
            <w:r w:rsidR="002A19F3" w:rsidRPr="00FF54E1">
              <w:rPr>
                <w:rFonts w:asciiTheme="minorHAnsi" w:hAnsiTheme="minorHAnsi"/>
              </w:rPr>
              <w:t>1</w:t>
            </w:r>
            <w:r w:rsidRPr="00FF54E1">
              <w:rPr>
                <w:rFonts w:asciiTheme="minorHAnsi" w:hAnsiTheme="minorHAnsi"/>
              </w:rPr>
              <w:t>6</w:t>
            </w:r>
          </w:p>
        </w:tc>
        <w:tc>
          <w:tcPr>
            <w:tcW w:w="1416" w:type="pct"/>
            <w:vAlign w:val="center"/>
          </w:tcPr>
          <w:p w14:paraId="6A33498A" w14:textId="6252EEC5" w:rsidR="00863DB9" w:rsidRPr="00B3376E" w:rsidRDefault="002A19F3" w:rsidP="001220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Typ smlouvy</w:t>
            </w:r>
          </w:p>
        </w:tc>
        <w:tc>
          <w:tcPr>
            <w:tcW w:w="966" w:type="pct"/>
          </w:tcPr>
          <w:p w14:paraId="4C993582" w14:textId="6F375767" w:rsidR="00863DB9" w:rsidRPr="00B3376E" w:rsidRDefault="002A19F3" w:rsidP="001220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 xml:space="preserve">Specifikace smlouvy – </w:t>
            </w:r>
            <w:proofErr w:type="gramStart"/>
            <w:r w:rsidRPr="00B3376E">
              <w:rPr>
                <w:rFonts w:asciiTheme="minorHAnsi" w:hAnsiTheme="minorHAnsi"/>
                <w:sz w:val="18"/>
                <w:szCs w:val="18"/>
              </w:rPr>
              <w:t>doby na</w:t>
            </w:r>
            <w:proofErr w:type="gramEnd"/>
            <w:r w:rsidRPr="00B3376E">
              <w:rPr>
                <w:rFonts w:asciiTheme="minorHAnsi" w:hAnsiTheme="minorHAnsi"/>
                <w:sz w:val="18"/>
                <w:szCs w:val="18"/>
              </w:rPr>
              <w:t xml:space="preserve"> kterou je smlouva uzavřená. Rozřazujeme smlouvy na dobu určitou a na dobu určitou.  </w:t>
            </w:r>
          </w:p>
        </w:tc>
        <w:tc>
          <w:tcPr>
            <w:tcW w:w="809" w:type="pct"/>
          </w:tcPr>
          <w:p w14:paraId="2CA6982A" w14:textId="0DAE14C5" w:rsidR="00863DB9" w:rsidRPr="00B3376E" w:rsidRDefault="002A19F3" w:rsidP="001220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66" w:type="pct"/>
          </w:tcPr>
          <w:p w14:paraId="0E28583B" w14:textId="77777777" w:rsidR="00863DB9" w:rsidRPr="00B3376E" w:rsidRDefault="00863DB9" w:rsidP="001220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</w:tcPr>
          <w:p w14:paraId="3CCD8229" w14:textId="77777777" w:rsidR="00863DB9" w:rsidRPr="00B3376E" w:rsidRDefault="00863DB9" w:rsidP="001220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863DB9" w14:paraId="581EB721" w14:textId="77777777" w:rsidTr="00A32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36ED37E9" w14:textId="1F8B1531" w:rsidR="00863DB9" w:rsidRDefault="00863DB9" w:rsidP="00FF54E1">
            <w:pPr>
              <w:spacing w:after="240" w:line="264" w:lineRule="auto"/>
              <w:jc w:val="both"/>
            </w:pPr>
            <w:r w:rsidRPr="00FF54E1">
              <w:rPr>
                <w:rFonts w:asciiTheme="minorHAnsi" w:hAnsiTheme="minorHAnsi"/>
              </w:rPr>
              <w:t>A</w:t>
            </w:r>
            <w:r w:rsidR="002A19F3" w:rsidRPr="00FF54E1">
              <w:rPr>
                <w:rFonts w:asciiTheme="minorHAnsi" w:hAnsiTheme="minorHAnsi"/>
              </w:rPr>
              <w:t>1</w:t>
            </w:r>
            <w:r w:rsidRPr="00FF54E1">
              <w:rPr>
                <w:rFonts w:asciiTheme="minorHAnsi" w:hAnsiTheme="minorHAnsi"/>
              </w:rPr>
              <w:t>7</w:t>
            </w:r>
          </w:p>
        </w:tc>
        <w:tc>
          <w:tcPr>
            <w:tcW w:w="1416" w:type="pct"/>
            <w:vAlign w:val="center"/>
          </w:tcPr>
          <w:p w14:paraId="4586B020" w14:textId="3D0578AA" w:rsidR="00863DB9" w:rsidRPr="00B3376E" w:rsidRDefault="002A19F3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Dispozice</w:t>
            </w:r>
          </w:p>
        </w:tc>
        <w:tc>
          <w:tcPr>
            <w:tcW w:w="966" w:type="pct"/>
          </w:tcPr>
          <w:p w14:paraId="5B1F843B" w14:textId="6F147755" w:rsidR="00863DB9" w:rsidRPr="00B3376E" w:rsidRDefault="002A19F3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Dispozice bytu</w:t>
            </w:r>
          </w:p>
        </w:tc>
        <w:tc>
          <w:tcPr>
            <w:tcW w:w="809" w:type="pct"/>
          </w:tcPr>
          <w:p w14:paraId="6320A5A5" w14:textId="01E3D051" w:rsidR="00863DB9" w:rsidRPr="00B3376E" w:rsidRDefault="002A19F3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66" w:type="pct"/>
          </w:tcPr>
          <w:p w14:paraId="767F9F74" w14:textId="0FD8BFB8" w:rsidR="00863DB9" w:rsidRPr="00B3376E" w:rsidRDefault="002A19F3" w:rsidP="00920D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 xml:space="preserve">Nový parametr </w:t>
            </w:r>
          </w:p>
        </w:tc>
        <w:tc>
          <w:tcPr>
            <w:tcW w:w="585" w:type="pct"/>
          </w:tcPr>
          <w:p w14:paraId="1915104A" w14:textId="77777777" w:rsidR="00863DB9" w:rsidRPr="00B3376E" w:rsidRDefault="00863DB9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863DB9" w14:paraId="75E1E72F" w14:textId="77777777" w:rsidTr="00A32E8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2D645B6F" w14:textId="0CEC6A70" w:rsidR="00863DB9" w:rsidRDefault="00863DB9" w:rsidP="00FF54E1">
            <w:pPr>
              <w:spacing w:after="240" w:line="264" w:lineRule="auto"/>
              <w:jc w:val="both"/>
            </w:pPr>
            <w:r w:rsidRPr="00FF54E1">
              <w:rPr>
                <w:rFonts w:asciiTheme="minorHAnsi" w:hAnsiTheme="minorHAnsi"/>
              </w:rPr>
              <w:t>A</w:t>
            </w:r>
            <w:r w:rsidR="002A19F3" w:rsidRPr="00FF54E1">
              <w:rPr>
                <w:rFonts w:asciiTheme="minorHAnsi" w:hAnsiTheme="minorHAnsi"/>
              </w:rPr>
              <w:t>1</w:t>
            </w:r>
            <w:r w:rsidRPr="00FF54E1">
              <w:rPr>
                <w:rFonts w:asciiTheme="minorHAnsi" w:hAnsiTheme="minorHAnsi"/>
              </w:rPr>
              <w:t>8</w:t>
            </w:r>
          </w:p>
        </w:tc>
        <w:tc>
          <w:tcPr>
            <w:tcW w:w="1416" w:type="pct"/>
            <w:vAlign w:val="center"/>
          </w:tcPr>
          <w:p w14:paraId="7E14811F" w14:textId="3C066EFA" w:rsidR="00863DB9" w:rsidRPr="00B3376E" w:rsidRDefault="002A19F3" w:rsidP="001220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B3376E">
              <w:rPr>
                <w:rFonts w:asciiTheme="minorHAnsi" w:hAnsiTheme="minorHAnsi"/>
                <w:sz w:val="18"/>
                <w:szCs w:val="18"/>
              </w:rPr>
              <w:t>Obsaditelné</w:t>
            </w:r>
            <w:proofErr w:type="spellEnd"/>
          </w:p>
        </w:tc>
        <w:tc>
          <w:tcPr>
            <w:tcW w:w="966" w:type="pct"/>
          </w:tcPr>
          <w:p w14:paraId="73AA6D42" w14:textId="5AF2FC8B" w:rsidR="00863DB9" w:rsidRPr="00B3376E" w:rsidRDefault="002A19F3" w:rsidP="001220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 xml:space="preserve">V případě, že je byt </w:t>
            </w:r>
            <w:proofErr w:type="spellStart"/>
            <w:r w:rsidRPr="00B3376E">
              <w:rPr>
                <w:rFonts w:asciiTheme="minorHAnsi" w:hAnsiTheme="minorHAnsi"/>
                <w:sz w:val="18"/>
                <w:szCs w:val="18"/>
              </w:rPr>
              <w:t>obsaditelný</w:t>
            </w:r>
            <w:proofErr w:type="spellEnd"/>
            <w:r w:rsidRPr="00B3376E">
              <w:rPr>
                <w:rFonts w:asciiTheme="minorHAnsi" w:hAnsiTheme="minorHAnsi"/>
                <w:sz w:val="18"/>
                <w:szCs w:val="18"/>
              </w:rPr>
              <w:t>, je označen příznakem „ANO“.</w:t>
            </w:r>
          </w:p>
        </w:tc>
        <w:tc>
          <w:tcPr>
            <w:tcW w:w="809" w:type="pct"/>
          </w:tcPr>
          <w:p w14:paraId="6C2E6580" w14:textId="5C89C31C" w:rsidR="00863DB9" w:rsidRPr="00B3376E" w:rsidRDefault="00090E87" w:rsidP="001220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66" w:type="pct"/>
          </w:tcPr>
          <w:p w14:paraId="4AF8C853" w14:textId="77777777" w:rsidR="00863DB9" w:rsidRPr="00B3376E" w:rsidRDefault="00863DB9" w:rsidP="001220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</w:tcPr>
          <w:p w14:paraId="4529F67D" w14:textId="77777777" w:rsidR="00863DB9" w:rsidRPr="00B3376E" w:rsidRDefault="00863DB9" w:rsidP="001220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863DB9" w14:paraId="39B53B76" w14:textId="77777777" w:rsidTr="00A32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766EE4BE" w14:textId="6E2BA4AB" w:rsidR="00863DB9" w:rsidRDefault="00863DB9" w:rsidP="00FF54E1">
            <w:pPr>
              <w:spacing w:after="240" w:line="264" w:lineRule="auto"/>
              <w:jc w:val="both"/>
            </w:pPr>
            <w:r w:rsidRPr="00FF54E1">
              <w:rPr>
                <w:rFonts w:asciiTheme="minorHAnsi" w:hAnsiTheme="minorHAnsi"/>
              </w:rPr>
              <w:t>A</w:t>
            </w:r>
            <w:r w:rsidR="001252C4" w:rsidRPr="00FF54E1">
              <w:rPr>
                <w:rFonts w:asciiTheme="minorHAnsi" w:hAnsiTheme="minorHAnsi"/>
              </w:rPr>
              <w:t>1</w:t>
            </w:r>
            <w:r w:rsidRPr="00FF54E1">
              <w:rPr>
                <w:rFonts w:asciiTheme="minorHAnsi" w:hAnsiTheme="minorHAnsi"/>
              </w:rPr>
              <w:t>9</w:t>
            </w:r>
          </w:p>
        </w:tc>
        <w:tc>
          <w:tcPr>
            <w:tcW w:w="1416" w:type="pct"/>
            <w:vAlign w:val="center"/>
          </w:tcPr>
          <w:p w14:paraId="174A31CE" w14:textId="14F33128" w:rsidR="00863DB9" w:rsidRPr="00B3376E" w:rsidRDefault="001252C4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Obsazené</w:t>
            </w:r>
          </w:p>
        </w:tc>
        <w:tc>
          <w:tcPr>
            <w:tcW w:w="966" w:type="pct"/>
          </w:tcPr>
          <w:p w14:paraId="14656B27" w14:textId="64431C48" w:rsidR="00863DB9" w:rsidRPr="00B3376E" w:rsidRDefault="001252C4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V případě, že je byt obsazený, je označen příznakem „ANO“.</w:t>
            </w:r>
          </w:p>
        </w:tc>
        <w:tc>
          <w:tcPr>
            <w:tcW w:w="809" w:type="pct"/>
          </w:tcPr>
          <w:p w14:paraId="11CC7D4E" w14:textId="5393688D" w:rsidR="00863DB9" w:rsidRPr="00B3376E" w:rsidRDefault="001252C4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66" w:type="pct"/>
          </w:tcPr>
          <w:p w14:paraId="6CEFCD69" w14:textId="2719D41E" w:rsidR="00863DB9" w:rsidRPr="00B3376E" w:rsidRDefault="001252C4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</w:tcPr>
          <w:p w14:paraId="46A81833" w14:textId="77777777" w:rsidR="00863DB9" w:rsidRPr="00B3376E" w:rsidRDefault="00863DB9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863DB9" w14:paraId="355F6B42" w14:textId="77777777" w:rsidTr="00A32E8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78B6FD06" w14:textId="58B29865" w:rsidR="00863DB9" w:rsidRDefault="00863DB9" w:rsidP="00FF54E1">
            <w:pPr>
              <w:spacing w:after="240" w:line="264" w:lineRule="auto"/>
              <w:jc w:val="both"/>
            </w:pPr>
            <w:r w:rsidRPr="00FF54E1">
              <w:rPr>
                <w:rFonts w:asciiTheme="minorHAnsi" w:hAnsiTheme="minorHAnsi"/>
              </w:rPr>
              <w:t>A</w:t>
            </w:r>
            <w:r w:rsidR="001252C4" w:rsidRPr="00FF54E1">
              <w:rPr>
                <w:rFonts w:asciiTheme="minorHAnsi" w:hAnsiTheme="minorHAnsi"/>
              </w:rPr>
              <w:t>20</w:t>
            </w:r>
          </w:p>
        </w:tc>
        <w:tc>
          <w:tcPr>
            <w:tcW w:w="1416" w:type="pct"/>
            <w:vAlign w:val="center"/>
          </w:tcPr>
          <w:p w14:paraId="1F15C33F" w14:textId="5264623B" w:rsidR="00863DB9" w:rsidRPr="00B3376E" w:rsidRDefault="001252C4" w:rsidP="001220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Snížená kvalita</w:t>
            </w:r>
          </w:p>
        </w:tc>
        <w:tc>
          <w:tcPr>
            <w:tcW w:w="966" w:type="pct"/>
          </w:tcPr>
          <w:p w14:paraId="20F0094D" w14:textId="6B21175B" w:rsidR="00863DB9" w:rsidRPr="00B3376E" w:rsidRDefault="001252C4" w:rsidP="001220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 xml:space="preserve">Rozřazuje byty na byty se sníženou kvalitou a na </w:t>
            </w:r>
            <w:r w:rsidRPr="00B3376E">
              <w:rPr>
                <w:rFonts w:asciiTheme="minorHAnsi" w:hAnsiTheme="minorHAnsi"/>
                <w:sz w:val="18"/>
                <w:szCs w:val="18"/>
              </w:rPr>
              <w:lastRenderedPageBreak/>
              <w:t>byty s nesníženou kvalitou.</w:t>
            </w:r>
          </w:p>
        </w:tc>
        <w:tc>
          <w:tcPr>
            <w:tcW w:w="809" w:type="pct"/>
          </w:tcPr>
          <w:p w14:paraId="33A19867" w14:textId="5848C90E" w:rsidR="00863DB9" w:rsidRPr="00B3376E" w:rsidRDefault="001252C4" w:rsidP="001220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lastRenderedPageBreak/>
              <w:t>Text</w:t>
            </w:r>
          </w:p>
        </w:tc>
        <w:tc>
          <w:tcPr>
            <w:tcW w:w="666" w:type="pct"/>
          </w:tcPr>
          <w:p w14:paraId="5960818E" w14:textId="355F0B71" w:rsidR="00863DB9" w:rsidRPr="00B3376E" w:rsidRDefault="001252C4" w:rsidP="00920D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 xml:space="preserve">Nový parametr </w:t>
            </w:r>
          </w:p>
        </w:tc>
        <w:tc>
          <w:tcPr>
            <w:tcW w:w="585" w:type="pct"/>
          </w:tcPr>
          <w:p w14:paraId="66571221" w14:textId="64B9DF6E" w:rsidR="00863DB9" w:rsidRPr="00B3376E" w:rsidRDefault="001252C4" w:rsidP="001220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1252C4" w14:paraId="50D16CB1" w14:textId="77777777" w:rsidTr="00A32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416ADD03" w14:textId="11F69031" w:rsidR="001252C4" w:rsidRDefault="001252C4" w:rsidP="00FF54E1">
            <w:pPr>
              <w:spacing w:after="240" w:line="264" w:lineRule="auto"/>
              <w:jc w:val="both"/>
            </w:pPr>
            <w:r w:rsidRPr="00FF54E1">
              <w:rPr>
                <w:rFonts w:asciiTheme="minorHAnsi" w:hAnsiTheme="minorHAnsi"/>
              </w:rPr>
              <w:t>A21</w:t>
            </w:r>
          </w:p>
        </w:tc>
        <w:tc>
          <w:tcPr>
            <w:tcW w:w="1416" w:type="pct"/>
            <w:vAlign w:val="center"/>
          </w:tcPr>
          <w:p w14:paraId="3BADA5AA" w14:textId="33F97431" w:rsidR="001252C4" w:rsidRPr="00B3376E" w:rsidRDefault="001252C4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Výměra v m2</w:t>
            </w:r>
          </w:p>
        </w:tc>
        <w:tc>
          <w:tcPr>
            <w:tcW w:w="966" w:type="pct"/>
          </w:tcPr>
          <w:p w14:paraId="0FB941FA" w14:textId="0183EE1F" w:rsidR="001252C4" w:rsidRPr="00B3376E" w:rsidRDefault="001252C4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Hodnota včetně jednotky</w:t>
            </w:r>
          </w:p>
        </w:tc>
        <w:tc>
          <w:tcPr>
            <w:tcW w:w="809" w:type="pct"/>
          </w:tcPr>
          <w:p w14:paraId="5124D7C8" w14:textId="53F05D97" w:rsidR="001252C4" w:rsidRPr="00B3376E" w:rsidRDefault="001252C4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66" w:type="pct"/>
          </w:tcPr>
          <w:p w14:paraId="0D76E3D5" w14:textId="6D68D0D0" w:rsidR="001252C4" w:rsidRPr="00B3376E" w:rsidRDefault="001252C4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</w:tcPr>
          <w:p w14:paraId="250F237E" w14:textId="42087BCB" w:rsidR="001252C4" w:rsidRPr="00B3376E" w:rsidRDefault="001252C4" w:rsidP="001220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1252C4" w14:paraId="4E69C0C2" w14:textId="77777777" w:rsidTr="00A32E8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57C2709F" w14:textId="7E2A9B79" w:rsidR="001252C4" w:rsidRDefault="001252C4" w:rsidP="00FF54E1">
            <w:pPr>
              <w:spacing w:after="240" w:line="264" w:lineRule="auto"/>
              <w:jc w:val="both"/>
            </w:pPr>
            <w:r w:rsidRPr="00FF54E1">
              <w:rPr>
                <w:rFonts w:asciiTheme="minorHAnsi" w:hAnsiTheme="minorHAnsi"/>
              </w:rPr>
              <w:t>A22</w:t>
            </w:r>
          </w:p>
        </w:tc>
        <w:tc>
          <w:tcPr>
            <w:tcW w:w="1416" w:type="pct"/>
            <w:vAlign w:val="center"/>
          </w:tcPr>
          <w:p w14:paraId="59676EFC" w14:textId="0D9B7DAC" w:rsidR="001252C4" w:rsidRPr="00B3376E" w:rsidRDefault="001252C4" w:rsidP="001252C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Nájem</w:t>
            </w:r>
          </w:p>
        </w:tc>
        <w:tc>
          <w:tcPr>
            <w:tcW w:w="966" w:type="pct"/>
            <w:vAlign w:val="center"/>
          </w:tcPr>
          <w:p w14:paraId="7019909C" w14:textId="1C6DFEBD" w:rsidR="001252C4" w:rsidRPr="00B3376E" w:rsidRDefault="001252C4" w:rsidP="001252C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 xml:space="preserve">Celková výměra bytové jednotky. </w:t>
            </w:r>
          </w:p>
        </w:tc>
        <w:tc>
          <w:tcPr>
            <w:tcW w:w="809" w:type="pct"/>
          </w:tcPr>
          <w:p w14:paraId="1FCDB36D" w14:textId="07E15964" w:rsidR="001252C4" w:rsidRPr="00B3376E" w:rsidRDefault="001252C4" w:rsidP="001252C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Hodnota včetně jednotky</w:t>
            </w:r>
          </w:p>
        </w:tc>
        <w:tc>
          <w:tcPr>
            <w:tcW w:w="666" w:type="pct"/>
          </w:tcPr>
          <w:p w14:paraId="31690EBA" w14:textId="3EDEF897" w:rsidR="001252C4" w:rsidRPr="00B3376E" w:rsidRDefault="001252C4" w:rsidP="001252C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</w:tcPr>
          <w:p w14:paraId="2666BCE7" w14:textId="6BF8418D" w:rsidR="001252C4" w:rsidRPr="00B3376E" w:rsidRDefault="001252C4" w:rsidP="001252C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1252C4" w14:paraId="2EC8F3B7" w14:textId="77777777" w:rsidTr="00A32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1C173E0F" w14:textId="1A583B50" w:rsidR="001252C4" w:rsidRDefault="001252C4" w:rsidP="001252C4">
            <w:pPr>
              <w:jc w:val="both"/>
            </w:pPr>
            <w:r w:rsidRPr="00FF54E1">
              <w:rPr>
                <w:rFonts w:asciiTheme="minorHAnsi" w:hAnsiTheme="minorHAnsi"/>
              </w:rPr>
              <w:t>A23</w:t>
            </w:r>
          </w:p>
        </w:tc>
        <w:tc>
          <w:tcPr>
            <w:tcW w:w="1416" w:type="pct"/>
            <w:vAlign w:val="center"/>
          </w:tcPr>
          <w:p w14:paraId="42B48CB5" w14:textId="2C285B15" w:rsidR="001252C4" w:rsidRPr="00B3376E" w:rsidRDefault="001252C4" w:rsidP="001252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Sazba za m2</w:t>
            </w:r>
          </w:p>
        </w:tc>
        <w:tc>
          <w:tcPr>
            <w:tcW w:w="966" w:type="pct"/>
            <w:vAlign w:val="center"/>
          </w:tcPr>
          <w:p w14:paraId="2386CBA1" w14:textId="139CA9D5" w:rsidR="001252C4" w:rsidRPr="00B3376E" w:rsidRDefault="001252C4" w:rsidP="001252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Vypočítaná sazba za m2 pro danou bytovou jednotku.</w:t>
            </w:r>
          </w:p>
        </w:tc>
        <w:tc>
          <w:tcPr>
            <w:tcW w:w="809" w:type="pct"/>
          </w:tcPr>
          <w:p w14:paraId="053EAB18" w14:textId="7C2C044D" w:rsidR="001252C4" w:rsidRPr="00B3376E" w:rsidRDefault="001252C4" w:rsidP="001252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Hodnota včetně jednotky</w:t>
            </w:r>
          </w:p>
        </w:tc>
        <w:tc>
          <w:tcPr>
            <w:tcW w:w="666" w:type="pct"/>
            <w:vAlign w:val="center"/>
          </w:tcPr>
          <w:p w14:paraId="503675C2" w14:textId="66A93526" w:rsidR="001252C4" w:rsidRPr="00B3376E" w:rsidRDefault="001252C4" w:rsidP="001252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SAP</w:t>
            </w:r>
            <w:r w:rsidR="00920D54" w:rsidRPr="00B3376E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3376E">
              <w:rPr>
                <w:rFonts w:asciiTheme="minorHAnsi" w:hAnsiTheme="minorHAnsi"/>
                <w:sz w:val="18"/>
                <w:szCs w:val="18"/>
              </w:rPr>
              <w:t>REM</w:t>
            </w:r>
          </w:p>
        </w:tc>
        <w:tc>
          <w:tcPr>
            <w:tcW w:w="585" w:type="pct"/>
            <w:vAlign w:val="center"/>
          </w:tcPr>
          <w:p w14:paraId="54507C9A" w14:textId="1047BE2C" w:rsidR="001252C4" w:rsidRPr="00B3376E" w:rsidRDefault="001252C4" w:rsidP="001252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1252C4" w14:paraId="38FB7597" w14:textId="77777777" w:rsidTr="00A32E8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2D4A123F" w14:textId="055145FB" w:rsidR="001252C4" w:rsidRDefault="001252C4" w:rsidP="00FF54E1">
            <w:pPr>
              <w:spacing w:after="240" w:line="264" w:lineRule="auto"/>
              <w:jc w:val="both"/>
            </w:pPr>
            <w:r w:rsidRPr="00FF54E1">
              <w:rPr>
                <w:rFonts w:asciiTheme="minorHAnsi" w:hAnsiTheme="minorHAnsi"/>
              </w:rPr>
              <w:t>A24</w:t>
            </w:r>
          </w:p>
        </w:tc>
        <w:tc>
          <w:tcPr>
            <w:tcW w:w="1416" w:type="pct"/>
            <w:vAlign w:val="center"/>
          </w:tcPr>
          <w:p w14:paraId="0DAAB52F" w14:textId="19F667F5" w:rsidR="001252C4" w:rsidRPr="00B3376E" w:rsidRDefault="001252C4" w:rsidP="001252C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Jistota ve smlouvě</w:t>
            </w:r>
          </w:p>
        </w:tc>
        <w:tc>
          <w:tcPr>
            <w:tcW w:w="966" w:type="pct"/>
            <w:vAlign w:val="center"/>
          </w:tcPr>
          <w:p w14:paraId="68F58BB0" w14:textId="0EB40EE9" w:rsidR="001252C4" w:rsidRPr="00B3376E" w:rsidRDefault="001252C4" w:rsidP="001252C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Výše jistoty pro daný byt</w:t>
            </w:r>
            <w:r w:rsidR="0021669C" w:rsidRPr="00B3376E">
              <w:rPr>
                <w:rFonts w:asciiTheme="minorHAnsi" w:hAnsiTheme="minorHAnsi"/>
                <w:sz w:val="18"/>
                <w:szCs w:val="18"/>
              </w:rPr>
              <w:t xml:space="preserve"> (jistota evidována v modulu FI pomocí ZHK „L“</w:t>
            </w:r>
            <w:r w:rsidR="00A32E82" w:rsidRPr="00B3376E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809" w:type="pct"/>
          </w:tcPr>
          <w:p w14:paraId="2EFCC0F2" w14:textId="1113A707" w:rsidR="001252C4" w:rsidRPr="00B3376E" w:rsidRDefault="001252C4" w:rsidP="001252C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Hodnota včetně jednotky</w:t>
            </w:r>
          </w:p>
        </w:tc>
        <w:tc>
          <w:tcPr>
            <w:tcW w:w="666" w:type="pct"/>
            <w:vAlign w:val="center"/>
          </w:tcPr>
          <w:p w14:paraId="3182CDDF" w14:textId="3B5276AE" w:rsidR="001252C4" w:rsidRPr="00B3376E" w:rsidRDefault="001252C4" w:rsidP="001252C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SAP</w:t>
            </w:r>
            <w:r w:rsidR="0021669C" w:rsidRPr="00B3376E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3376E">
              <w:rPr>
                <w:rFonts w:asciiTheme="minorHAnsi" w:hAnsiTheme="minorHAnsi"/>
                <w:sz w:val="18"/>
                <w:szCs w:val="18"/>
              </w:rPr>
              <w:t>FI</w:t>
            </w:r>
          </w:p>
        </w:tc>
        <w:tc>
          <w:tcPr>
            <w:tcW w:w="585" w:type="pct"/>
            <w:vAlign w:val="center"/>
          </w:tcPr>
          <w:p w14:paraId="0220A235" w14:textId="7E1A26EA" w:rsidR="001252C4" w:rsidRPr="00B3376E" w:rsidRDefault="001252C4" w:rsidP="001252C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3376E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</w:tbl>
    <w:p w14:paraId="6B185023" w14:textId="67C0D64D" w:rsidR="00863DB9" w:rsidRDefault="00863DB9" w:rsidP="00AF7329">
      <w:pPr>
        <w:jc w:val="both"/>
        <w:rPr>
          <w:sz w:val="20"/>
          <w:szCs w:val="20"/>
        </w:rPr>
      </w:pPr>
    </w:p>
    <w:p w14:paraId="6BEA2555" w14:textId="3B902496" w:rsidR="00FF54E1" w:rsidRDefault="00FF54E1" w:rsidP="00AF7329">
      <w:pPr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drawing>
          <wp:inline distT="0" distB="0" distL="0" distR="0" wp14:anchorId="23D86556" wp14:editId="7128C427">
            <wp:extent cx="5648400" cy="3175200"/>
            <wp:effectExtent l="0" t="0" r="0" b="635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port2A_2.png"/>
                    <pic:cNvPicPr/>
                  </pic:nvPicPr>
                  <pic:blipFill>
                    <a:blip r:embed="rId13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8400" cy="317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FCA32" w14:textId="3A61FA31" w:rsidR="00D93277" w:rsidRDefault="0012204C" w:rsidP="0012204C">
      <w:pPr>
        <w:jc w:val="center"/>
        <w:rPr>
          <w:sz w:val="20"/>
          <w:szCs w:val="20"/>
        </w:rPr>
      </w:pPr>
      <w:r>
        <w:rPr>
          <w:sz w:val="20"/>
          <w:szCs w:val="20"/>
        </w:rPr>
        <w:t>Obr. 3</w:t>
      </w:r>
    </w:p>
    <w:p w14:paraId="75452EA4" w14:textId="5F5976DF" w:rsidR="00D93277" w:rsidRPr="004E0575" w:rsidRDefault="00D93277" w:rsidP="00AF7329">
      <w:pPr>
        <w:jc w:val="both"/>
        <w:rPr>
          <w:b/>
          <w:sz w:val="20"/>
          <w:szCs w:val="20"/>
        </w:rPr>
      </w:pPr>
      <w:r w:rsidRPr="004E0575">
        <w:rPr>
          <w:b/>
          <w:sz w:val="20"/>
          <w:szCs w:val="20"/>
        </w:rPr>
        <w:t>Report 2B: Sekce informace o budově a bytu</w:t>
      </w:r>
    </w:p>
    <w:tbl>
      <w:tblPr>
        <w:tblStyle w:val="Tabulkaseznamu3zvraznn1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04"/>
        <w:gridCol w:w="2398"/>
        <w:gridCol w:w="1616"/>
        <w:gridCol w:w="1343"/>
        <w:gridCol w:w="1095"/>
        <w:gridCol w:w="1336"/>
      </w:tblGrid>
      <w:tr w:rsidR="00D93277" w:rsidRPr="004269EE" w14:paraId="1C1637CE" w14:textId="77777777" w:rsidTr="004E05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57" w:type="pct"/>
            <w:vAlign w:val="center"/>
          </w:tcPr>
          <w:p w14:paraId="71E7462F" w14:textId="77777777" w:rsidR="00D93277" w:rsidRPr="00AD4A2A" w:rsidRDefault="00D93277" w:rsidP="0012204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ID</w:t>
            </w:r>
          </w:p>
        </w:tc>
        <w:tc>
          <w:tcPr>
            <w:tcW w:w="1416" w:type="pct"/>
            <w:vAlign w:val="center"/>
          </w:tcPr>
          <w:p w14:paraId="507C657F" w14:textId="77777777" w:rsidR="00D93277" w:rsidRPr="00AD4A2A" w:rsidRDefault="00D93277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Položka (název)</w:t>
            </w:r>
          </w:p>
        </w:tc>
        <w:tc>
          <w:tcPr>
            <w:tcW w:w="966" w:type="pct"/>
          </w:tcPr>
          <w:p w14:paraId="4F4E8CAE" w14:textId="77777777" w:rsidR="00D93277" w:rsidRDefault="00D93277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30F5F">
              <w:rPr>
                <w:rFonts w:asciiTheme="minorHAnsi" w:hAnsiTheme="minorHAnsi"/>
              </w:rPr>
              <w:t>Pop</w:t>
            </w:r>
            <w:r>
              <w:rPr>
                <w:rFonts w:asciiTheme="minorHAnsi" w:hAnsiTheme="minorHAnsi"/>
              </w:rPr>
              <w:t>is položky</w:t>
            </w:r>
          </w:p>
        </w:tc>
        <w:tc>
          <w:tcPr>
            <w:tcW w:w="809" w:type="pct"/>
          </w:tcPr>
          <w:p w14:paraId="1377DD5C" w14:textId="77777777" w:rsidR="00D93277" w:rsidRPr="0025585D" w:rsidRDefault="00D93277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25585D">
              <w:rPr>
                <w:rFonts w:asciiTheme="minorHAnsi" w:hAnsiTheme="minorHAnsi"/>
              </w:rPr>
              <w:t>Formát zobrazení</w:t>
            </w:r>
          </w:p>
        </w:tc>
        <w:tc>
          <w:tcPr>
            <w:tcW w:w="666" w:type="pct"/>
          </w:tcPr>
          <w:p w14:paraId="7873C658" w14:textId="77777777" w:rsidR="00D93277" w:rsidRPr="0025585D" w:rsidRDefault="00D93277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25585D">
              <w:rPr>
                <w:rFonts w:asciiTheme="minorHAnsi" w:hAnsiTheme="minorHAnsi"/>
              </w:rPr>
              <w:t>Datový zdroj</w:t>
            </w:r>
          </w:p>
        </w:tc>
        <w:tc>
          <w:tcPr>
            <w:tcW w:w="585" w:type="pct"/>
          </w:tcPr>
          <w:p w14:paraId="0C8D1974" w14:textId="77777777" w:rsidR="00D93277" w:rsidRPr="0025585D" w:rsidRDefault="00D93277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25585D">
              <w:rPr>
                <w:rFonts w:asciiTheme="minorHAnsi" w:hAnsiTheme="minorHAnsi"/>
              </w:rPr>
              <w:t>Způsob předávání dat</w:t>
            </w:r>
          </w:p>
        </w:tc>
      </w:tr>
      <w:tr w:rsidR="00D93277" w14:paraId="3869FCEB" w14:textId="77777777" w:rsidTr="004E0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1B67AA50" w14:textId="5522627B" w:rsidR="00D93277" w:rsidRPr="00AD4A2A" w:rsidRDefault="00D93277" w:rsidP="00D93277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4E0575">
              <w:rPr>
                <w:rFonts w:asciiTheme="minorHAnsi" w:hAnsiTheme="minorHAnsi"/>
              </w:rPr>
              <w:t>B1</w:t>
            </w:r>
          </w:p>
        </w:tc>
        <w:tc>
          <w:tcPr>
            <w:tcW w:w="1416" w:type="pct"/>
            <w:vAlign w:val="center"/>
          </w:tcPr>
          <w:p w14:paraId="72FD75AF" w14:textId="2328EA8B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Název budovy</w:t>
            </w:r>
          </w:p>
        </w:tc>
        <w:tc>
          <w:tcPr>
            <w:tcW w:w="966" w:type="pct"/>
            <w:vAlign w:val="center"/>
          </w:tcPr>
          <w:p w14:paraId="0098A461" w14:textId="73BA9283" w:rsidR="00D93277" w:rsidRPr="0025585D" w:rsidRDefault="00D93277" w:rsidP="00D93277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Název budovy, ve které se byt nachází.</w:t>
            </w:r>
          </w:p>
        </w:tc>
        <w:tc>
          <w:tcPr>
            <w:tcW w:w="809" w:type="pct"/>
            <w:vAlign w:val="center"/>
          </w:tcPr>
          <w:p w14:paraId="7AE6BCA1" w14:textId="57939862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66" w:type="pct"/>
            <w:vAlign w:val="center"/>
          </w:tcPr>
          <w:p w14:paraId="00DF70D1" w14:textId="3DB1D816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  <w:vAlign w:val="center"/>
          </w:tcPr>
          <w:p w14:paraId="16F7B867" w14:textId="30D32C94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D93277" w:rsidRPr="00011CD1" w14:paraId="2A5A0347" w14:textId="77777777" w:rsidTr="004E057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55189CDF" w14:textId="30620A0D" w:rsidR="00D93277" w:rsidRPr="00AD4A2A" w:rsidRDefault="00D93277" w:rsidP="00D93277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4E0575">
              <w:rPr>
                <w:rFonts w:asciiTheme="minorHAnsi" w:hAnsiTheme="minorHAnsi"/>
              </w:rPr>
              <w:t>B2</w:t>
            </w:r>
          </w:p>
        </w:tc>
        <w:tc>
          <w:tcPr>
            <w:tcW w:w="1416" w:type="pct"/>
            <w:vAlign w:val="center"/>
          </w:tcPr>
          <w:p w14:paraId="2C4702E9" w14:textId="3C2857DC" w:rsidR="00D93277" w:rsidRPr="0025585D" w:rsidRDefault="00D93277" w:rsidP="00D93277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Oblastní ředitelství</w:t>
            </w:r>
          </w:p>
        </w:tc>
        <w:tc>
          <w:tcPr>
            <w:tcW w:w="966" w:type="pct"/>
            <w:vAlign w:val="center"/>
          </w:tcPr>
          <w:p w14:paraId="3B476DB3" w14:textId="72BF632B" w:rsidR="00D93277" w:rsidRPr="0025585D" w:rsidRDefault="00D93277" w:rsidP="00D93277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Název oblastního </w:t>
            </w:r>
            <w:r w:rsidRPr="0025585D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ředitelství, ve kterém se byt nachází. </w:t>
            </w:r>
          </w:p>
        </w:tc>
        <w:tc>
          <w:tcPr>
            <w:tcW w:w="809" w:type="pct"/>
            <w:vAlign w:val="center"/>
          </w:tcPr>
          <w:p w14:paraId="3E4849B0" w14:textId="334C5711" w:rsidR="00D93277" w:rsidRPr="0025585D" w:rsidRDefault="00D93277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lastRenderedPageBreak/>
              <w:t>Text</w:t>
            </w:r>
          </w:p>
        </w:tc>
        <w:tc>
          <w:tcPr>
            <w:tcW w:w="666" w:type="pct"/>
            <w:vAlign w:val="center"/>
          </w:tcPr>
          <w:p w14:paraId="763FC0B9" w14:textId="24CF849B" w:rsidR="00D93277" w:rsidRPr="0025585D" w:rsidRDefault="00D93277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  <w:vAlign w:val="center"/>
          </w:tcPr>
          <w:p w14:paraId="06D1669B" w14:textId="43795932" w:rsidR="00D93277" w:rsidRPr="0025585D" w:rsidRDefault="00D93277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On-line/1 denní </w:t>
            </w:r>
            <w:r w:rsidRPr="0025585D">
              <w:rPr>
                <w:rFonts w:asciiTheme="minorHAnsi" w:hAnsiTheme="minorHAnsi"/>
                <w:sz w:val="18"/>
                <w:szCs w:val="18"/>
              </w:rPr>
              <w:lastRenderedPageBreak/>
              <w:t>zpoždění via SAP BW</w:t>
            </w:r>
          </w:p>
        </w:tc>
      </w:tr>
      <w:tr w:rsidR="00D93277" w14:paraId="7FA46833" w14:textId="77777777" w:rsidTr="004E0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5A3C92C2" w14:textId="215FB373" w:rsidR="00D93277" w:rsidRPr="00AD4A2A" w:rsidRDefault="00D93277" w:rsidP="00D93277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4E0575">
              <w:rPr>
                <w:rFonts w:asciiTheme="minorHAnsi" w:hAnsiTheme="minorHAnsi"/>
              </w:rPr>
              <w:lastRenderedPageBreak/>
              <w:t>B3</w:t>
            </w:r>
          </w:p>
        </w:tc>
        <w:tc>
          <w:tcPr>
            <w:tcW w:w="1416" w:type="pct"/>
            <w:vAlign w:val="center"/>
          </w:tcPr>
          <w:p w14:paraId="60D6FFC1" w14:textId="6F7405E9" w:rsidR="00D93277" w:rsidRPr="0025585D" w:rsidRDefault="00D93277" w:rsidP="00D93277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Kategorie stanice</w:t>
            </w:r>
          </w:p>
        </w:tc>
        <w:tc>
          <w:tcPr>
            <w:tcW w:w="966" w:type="pct"/>
            <w:vAlign w:val="center"/>
          </w:tcPr>
          <w:p w14:paraId="331E82CE" w14:textId="5113B241" w:rsidR="00D93277" w:rsidRPr="0025585D" w:rsidRDefault="00D93277" w:rsidP="00D93277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Kategorie stanici, ve které se byt nachází dle logiky nastavené Správou železnic. Zobrazuje </w:t>
            </w:r>
            <w:proofErr w:type="gramStart"/>
            <w:r w:rsidRPr="0025585D">
              <w:rPr>
                <w:rFonts w:asciiTheme="minorHAnsi" w:hAnsiTheme="minorHAnsi"/>
                <w:sz w:val="18"/>
                <w:szCs w:val="18"/>
              </w:rPr>
              <w:t>se pouze</w:t>
            </w:r>
            <w:proofErr w:type="gramEnd"/>
            <w:r w:rsidRPr="0025585D">
              <w:rPr>
                <w:rFonts w:asciiTheme="minorHAnsi" w:hAnsiTheme="minorHAnsi"/>
                <w:sz w:val="18"/>
                <w:szCs w:val="18"/>
              </w:rPr>
              <w:t xml:space="preserve"> pokud je byt ve stanici. </w:t>
            </w:r>
          </w:p>
        </w:tc>
        <w:tc>
          <w:tcPr>
            <w:tcW w:w="809" w:type="pct"/>
            <w:vAlign w:val="center"/>
          </w:tcPr>
          <w:p w14:paraId="348CDDB2" w14:textId="7BAA5621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66" w:type="pct"/>
            <w:vAlign w:val="center"/>
          </w:tcPr>
          <w:p w14:paraId="1B21CCBC" w14:textId="5C843515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SAP</w:t>
            </w:r>
            <w:r w:rsidR="00920D54" w:rsidRPr="0025585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25585D">
              <w:rPr>
                <w:rFonts w:asciiTheme="minorHAnsi" w:hAnsiTheme="minorHAnsi"/>
                <w:sz w:val="18"/>
                <w:szCs w:val="18"/>
              </w:rPr>
              <w:t>REM</w:t>
            </w:r>
          </w:p>
        </w:tc>
        <w:tc>
          <w:tcPr>
            <w:tcW w:w="585" w:type="pct"/>
            <w:vAlign w:val="center"/>
          </w:tcPr>
          <w:p w14:paraId="7AB7FE51" w14:textId="1E4ABEED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D93277" w14:paraId="5EC1F3FB" w14:textId="77777777" w:rsidTr="004E057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613E799E" w14:textId="348B5A92" w:rsidR="00D93277" w:rsidRPr="00AD4A2A" w:rsidRDefault="00D93277" w:rsidP="00D93277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4E0575">
              <w:rPr>
                <w:rFonts w:asciiTheme="minorHAnsi" w:hAnsiTheme="minorHAnsi"/>
              </w:rPr>
              <w:t>B4</w:t>
            </w:r>
          </w:p>
        </w:tc>
        <w:tc>
          <w:tcPr>
            <w:tcW w:w="1416" w:type="pct"/>
            <w:vAlign w:val="center"/>
          </w:tcPr>
          <w:p w14:paraId="34CC7D70" w14:textId="611E7006" w:rsidR="00D93277" w:rsidRPr="0025585D" w:rsidRDefault="00D93277" w:rsidP="00D93277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Typ budovy</w:t>
            </w:r>
          </w:p>
        </w:tc>
        <w:tc>
          <w:tcPr>
            <w:tcW w:w="966" w:type="pct"/>
            <w:vAlign w:val="center"/>
          </w:tcPr>
          <w:p w14:paraId="23F4FFC4" w14:textId="67BC7FFA" w:rsidR="00D93277" w:rsidRPr="0025585D" w:rsidRDefault="00D93277" w:rsidP="00D93277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Typ budovy, ve kterém se byt nachází dle logiky nastavené Správou železnic. </w:t>
            </w:r>
          </w:p>
        </w:tc>
        <w:tc>
          <w:tcPr>
            <w:tcW w:w="809" w:type="pct"/>
            <w:vAlign w:val="center"/>
          </w:tcPr>
          <w:p w14:paraId="0904C006" w14:textId="458685F1" w:rsidR="00D93277" w:rsidRPr="0025585D" w:rsidRDefault="00D93277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66" w:type="pct"/>
            <w:vAlign w:val="center"/>
          </w:tcPr>
          <w:p w14:paraId="1647540A" w14:textId="3A27AF15" w:rsidR="00D93277" w:rsidRPr="0025585D" w:rsidRDefault="004E0575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SAP </w:t>
            </w:r>
            <w:r w:rsidR="00D93277" w:rsidRPr="0025585D">
              <w:rPr>
                <w:rFonts w:asciiTheme="minorHAnsi" w:hAnsiTheme="minorHAnsi"/>
                <w:sz w:val="18"/>
                <w:szCs w:val="18"/>
              </w:rPr>
              <w:t>REM</w:t>
            </w:r>
          </w:p>
        </w:tc>
        <w:tc>
          <w:tcPr>
            <w:tcW w:w="585" w:type="pct"/>
            <w:vAlign w:val="center"/>
          </w:tcPr>
          <w:p w14:paraId="496FBD67" w14:textId="62FD0EE3" w:rsidR="00D93277" w:rsidRPr="0025585D" w:rsidRDefault="00D93277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D93277" w14:paraId="6B03F40D" w14:textId="77777777" w:rsidTr="004E0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51B9BCAC" w14:textId="2130F761" w:rsidR="00D93277" w:rsidRDefault="00D93277" w:rsidP="004E0575">
            <w:pPr>
              <w:spacing w:after="240" w:line="264" w:lineRule="auto"/>
              <w:jc w:val="both"/>
            </w:pPr>
            <w:r w:rsidRPr="004E0575">
              <w:rPr>
                <w:rFonts w:asciiTheme="minorHAnsi" w:hAnsiTheme="minorHAnsi"/>
              </w:rPr>
              <w:t>B5</w:t>
            </w:r>
          </w:p>
        </w:tc>
        <w:tc>
          <w:tcPr>
            <w:tcW w:w="1416" w:type="pct"/>
            <w:vAlign w:val="center"/>
          </w:tcPr>
          <w:p w14:paraId="5D88002E" w14:textId="6E8F00B4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Číslo SAP</w:t>
            </w:r>
          </w:p>
        </w:tc>
        <w:tc>
          <w:tcPr>
            <w:tcW w:w="966" w:type="pct"/>
            <w:vAlign w:val="center"/>
          </w:tcPr>
          <w:p w14:paraId="457BBB8E" w14:textId="7F1AE9A1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Identifikátor SAP pro nájemní objekt (byt)</w:t>
            </w:r>
          </w:p>
        </w:tc>
        <w:tc>
          <w:tcPr>
            <w:tcW w:w="809" w:type="pct"/>
            <w:vAlign w:val="center"/>
          </w:tcPr>
          <w:p w14:paraId="36D6FE12" w14:textId="4681C996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66" w:type="pct"/>
            <w:vAlign w:val="center"/>
          </w:tcPr>
          <w:p w14:paraId="70DDB6F4" w14:textId="5DFC8FDD" w:rsidR="00D93277" w:rsidRPr="0025585D" w:rsidRDefault="004E0575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SAP </w:t>
            </w:r>
            <w:r w:rsidR="00D93277" w:rsidRPr="0025585D">
              <w:rPr>
                <w:rFonts w:asciiTheme="minorHAnsi" w:hAnsiTheme="minorHAnsi"/>
                <w:sz w:val="18"/>
                <w:szCs w:val="18"/>
              </w:rPr>
              <w:t>REM</w:t>
            </w:r>
          </w:p>
        </w:tc>
        <w:tc>
          <w:tcPr>
            <w:tcW w:w="585" w:type="pct"/>
            <w:vAlign w:val="center"/>
          </w:tcPr>
          <w:p w14:paraId="04C0943F" w14:textId="5B0BD408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D93277" w14:paraId="37D0D5ED" w14:textId="77777777" w:rsidTr="004E057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11B67549" w14:textId="6FD214A4" w:rsidR="00D93277" w:rsidRDefault="00D93277" w:rsidP="004E0575">
            <w:pPr>
              <w:spacing w:after="240" w:line="264" w:lineRule="auto"/>
              <w:jc w:val="both"/>
            </w:pPr>
            <w:r w:rsidRPr="004E0575">
              <w:rPr>
                <w:rFonts w:asciiTheme="minorHAnsi" w:hAnsiTheme="minorHAnsi"/>
              </w:rPr>
              <w:t>B6</w:t>
            </w:r>
          </w:p>
        </w:tc>
        <w:tc>
          <w:tcPr>
            <w:tcW w:w="1416" w:type="pct"/>
            <w:vAlign w:val="center"/>
          </w:tcPr>
          <w:p w14:paraId="1FBE2DFD" w14:textId="696EBA55" w:rsidR="00D93277" w:rsidRPr="0025585D" w:rsidRDefault="00D93277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Podlaží</w:t>
            </w:r>
          </w:p>
        </w:tc>
        <w:tc>
          <w:tcPr>
            <w:tcW w:w="966" w:type="pct"/>
            <w:vAlign w:val="center"/>
          </w:tcPr>
          <w:p w14:paraId="5DF70CCA" w14:textId="57EF384D" w:rsidR="00D93277" w:rsidRPr="0025585D" w:rsidRDefault="00D93277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Podlaží, ve kterém se byt nachází. </w:t>
            </w:r>
          </w:p>
        </w:tc>
        <w:tc>
          <w:tcPr>
            <w:tcW w:w="809" w:type="pct"/>
            <w:vAlign w:val="center"/>
          </w:tcPr>
          <w:p w14:paraId="69B27EF7" w14:textId="0F4FD19E" w:rsidR="00D93277" w:rsidRPr="0025585D" w:rsidRDefault="00D93277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66" w:type="pct"/>
            <w:vAlign w:val="center"/>
          </w:tcPr>
          <w:p w14:paraId="7FBDC4E9" w14:textId="4696E3C0" w:rsidR="00D93277" w:rsidRPr="0025585D" w:rsidRDefault="00920D54" w:rsidP="00920D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  <w:vAlign w:val="center"/>
          </w:tcPr>
          <w:p w14:paraId="2E38102A" w14:textId="01E3AA0A" w:rsidR="00D93277" w:rsidRPr="0025585D" w:rsidRDefault="00981A34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D93277" w14:paraId="7FE58A99" w14:textId="77777777" w:rsidTr="004E0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61ABC78D" w14:textId="39A591AB" w:rsidR="00D93277" w:rsidRDefault="00D93277" w:rsidP="004E0575">
            <w:pPr>
              <w:spacing w:after="240" w:line="264" w:lineRule="auto"/>
              <w:jc w:val="both"/>
            </w:pPr>
            <w:r w:rsidRPr="004E0575">
              <w:rPr>
                <w:rFonts w:asciiTheme="minorHAnsi" w:hAnsiTheme="minorHAnsi"/>
              </w:rPr>
              <w:t>B7</w:t>
            </w:r>
          </w:p>
        </w:tc>
        <w:tc>
          <w:tcPr>
            <w:tcW w:w="1416" w:type="pct"/>
            <w:vAlign w:val="center"/>
          </w:tcPr>
          <w:p w14:paraId="16135FFD" w14:textId="1FD223E4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Dispozice</w:t>
            </w:r>
          </w:p>
        </w:tc>
        <w:tc>
          <w:tcPr>
            <w:tcW w:w="966" w:type="pct"/>
            <w:vAlign w:val="center"/>
          </w:tcPr>
          <w:p w14:paraId="005638BE" w14:textId="5BB7A257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Počet místností (např. 2+1 apod.)</w:t>
            </w:r>
          </w:p>
        </w:tc>
        <w:tc>
          <w:tcPr>
            <w:tcW w:w="809" w:type="pct"/>
            <w:vAlign w:val="center"/>
          </w:tcPr>
          <w:p w14:paraId="06CB7D9C" w14:textId="2EDBCC82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66" w:type="pct"/>
            <w:vAlign w:val="center"/>
          </w:tcPr>
          <w:p w14:paraId="479E8012" w14:textId="08CCA3C4" w:rsidR="00D93277" w:rsidRPr="0025585D" w:rsidRDefault="00981A34" w:rsidP="00920D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Nový parametr </w:t>
            </w:r>
            <w:r w:rsidR="00920D54" w:rsidRPr="0025585D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585" w:type="pct"/>
            <w:vAlign w:val="center"/>
          </w:tcPr>
          <w:p w14:paraId="26A415D0" w14:textId="7B852EA8" w:rsidR="00D93277" w:rsidRPr="0025585D" w:rsidRDefault="00981A34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D93277" w14:paraId="57988F0D" w14:textId="77777777" w:rsidTr="004E057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24031F12" w14:textId="0059F796" w:rsidR="00D93277" w:rsidRDefault="00D93277" w:rsidP="004E0575">
            <w:pPr>
              <w:spacing w:after="240" w:line="264" w:lineRule="auto"/>
              <w:jc w:val="both"/>
            </w:pPr>
            <w:r w:rsidRPr="004E0575">
              <w:rPr>
                <w:rFonts w:asciiTheme="minorHAnsi" w:hAnsiTheme="minorHAnsi"/>
              </w:rPr>
              <w:t>B8</w:t>
            </w:r>
          </w:p>
        </w:tc>
        <w:tc>
          <w:tcPr>
            <w:tcW w:w="1416" w:type="pct"/>
            <w:vAlign w:val="center"/>
          </w:tcPr>
          <w:p w14:paraId="26CBC963" w14:textId="167BEFF1" w:rsidR="00D93277" w:rsidRPr="0025585D" w:rsidRDefault="00D93277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Celková (započitatelná) výměra</w:t>
            </w:r>
          </w:p>
        </w:tc>
        <w:tc>
          <w:tcPr>
            <w:tcW w:w="966" w:type="pct"/>
            <w:vAlign w:val="center"/>
          </w:tcPr>
          <w:p w14:paraId="72F99841" w14:textId="2BB0AEBD" w:rsidR="00D93277" w:rsidRPr="0025585D" w:rsidRDefault="00D93277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Velikost bytu uváděná v m</w:t>
            </w:r>
            <w:r w:rsidRPr="0025585D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09" w:type="pct"/>
            <w:vAlign w:val="center"/>
          </w:tcPr>
          <w:p w14:paraId="6C52E5C7" w14:textId="342C4919" w:rsidR="00D93277" w:rsidRPr="0025585D" w:rsidRDefault="00D93277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Hodnota</w:t>
            </w:r>
          </w:p>
        </w:tc>
        <w:tc>
          <w:tcPr>
            <w:tcW w:w="666" w:type="pct"/>
            <w:vAlign w:val="center"/>
          </w:tcPr>
          <w:p w14:paraId="43460059" w14:textId="7362D186" w:rsidR="00D93277" w:rsidRPr="0025585D" w:rsidRDefault="001C50A7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FF0000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  <w:vAlign w:val="center"/>
          </w:tcPr>
          <w:p w14:paraId="6F883650" w14:textId="65BFD953" w:rsidR="00D93277" w:rsidRPr="0025585D" w:rsidRDefault="001C50A7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D93277" w14:paraId="5C63CB84" w14:textId="77777777" w:rsidTr="004E0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12B4C675" w14:textId="5970F35C" w:rsidR="00D93277" w:rsidRDefault="00D93277" w:rsidP="004E0575">
            <w:pPr>
              <w:spacing w:after="240" w:line="264" w:lineRule="auto"/>
              <w:jc w:val="both"/>
            </w:pPr>
            <w:r w:rsidRPr="004E0575">
              <w:rPr>
                <w:rFonts w:asciiTheme="minorHAnsi" w:hAnsiTheme="minorHAnsi"/>
              </w:rPr>
              <w:t>B9</w:t>
            </w:r>
          </w:p>
        </w:tc>
        <w:tc>
          <w:tcPr>
            <w:tcW w:w="1416" w:type="pct"/>
            <w:vAlign w:val="center"/>
          </w:tcPr>
          <w:p w14:paraId="3C2E3D16" w14:textId="5D35071B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Typ bytu</w:t>
            </w:r>
          </w:p>
        </w:tc>
        <w:tc>
          <w:tcPr>
            <w:tcW w:w="966" w:type="pct"/>
            <w:vAlign w:val="center"/>
          </w:tcPr>
          <w:p w14:paraId="54EA52E0" w14:textId="04363263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Specifikace využití bytu. Identifikujeme byty standardní, pobídkové nebo byty ve zvláštním režimu.</w:t>
            </w:r>
          </w:p>
        </w:tc>
        <w:tc>
          <w:tcPr>
            <w:tcW w:w="809" w:type="pct"/>
            <w:vAlign w:val="center"/>
          </w:tcPr>
          <w:p w14:paraId="3C7A4C11" w14:textId="21B6A804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66" w:type="pct"/>
            <w:vAlign w:val="center"/>
          </w:tcPr>
          <w:p w14:paraId="3AC50935" w14:textId="36715E11" w:rsidR="00D93277" w:rsidRPr="0025585D" w:rsidRDefault="004E0575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SAP </w:t>
            </w:r>
            <w:r w:rsidR="00D93277" w:rsidRPr="0025585D">
              <w:rPr>
                <w:rFonts w:asciiTheme="minorHAnsi" w:hAnsiTheme="minorHAnsi"/>
                <w:sz w:val="18"/>
                <w:szCs w:val="18"/>
              </w:rPr>
              <w:t>REM</w:t>
            </w:r>
          </w:p>
        </w:tc>
        <w:tc>
          <w:tcPr>
            <w:tcW w:w="585" w:type="pct"/>
            <w:vAlign w:val="center"/>
          </w:tcPr>
          <w:p w14:paraId="33FF18B6" w14:textId="12A5214D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D93277" w14:paraId="414EEFBB" w14:textId="77777777" w:rsidTr="004E057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7B837924" w14:textId="63FB38CC" w:rsidR="00D93277" w:rsidRDefault="00D93277" w:rsidP="004E0575">
            <w:pPr>
              <w:spacing w:after="240" w:line="264" w:lineRule="auto"/>
              <w:jc w:val="both"/>
            </w:pPr>
            <w:r w:rsidRPr="004E0575">
              <w:rPr>
                <w:rFonts w:asciiTheme="minorHAnsi" w:hAnsiTheme="minorHAnsi"/>
              </w:rPr>
              <w:t>B10</w:t>
            </w:r>
          </w:p>
        </w:tc>
        <w:tc>
          <w:tcPr>
            <w:tcW w:w="1416" w:type="pct"/>
            <w:vAlign w:val="center"/>
          </w:tcPr>
          <w:p w14:paraId="7DCB5362" w14:textId="37BEE24C" w:rsidR="00D93277" w:rsidRPr="0025585D" w:rsidRDefault="00D93277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Kvalita</w:t>
            </w:r>
          </w:p>
        </w:tc>
        <w:tc>
          <w:tcPr>
            <w:tcW w:w="966" w:type="pct"/>
            <w:vAlign w:val="center"/>
          </w:tcPr>
          <w:p w14:paraId="7C4AD9CC" w14:textId="30FC3E93" w:rsidR="00D93277" w:rsidRPr="0025585D" w:rsidRDefault="00D93277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Rozřazuje byty na byty se sníženou kvalitou a na byty s nesníženou kvalitou.</w:t>
            </w:r>
          </w:p>
        </w:tc>
        <w:tc>
          <w:tcPr>
            <w:tcW w:w="809" w:type="pct"/>
            <w:vAlign w:val="center"/>
          </w:tcPr>
          <w:p w14:paraId="5E926968" w14:textId="57F95362" w:rsidR="00D93277" w:rsidRPr="0025585D" w:rsidRDefault="00D93277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66" w:type="pct"/>
            <w:vAlign w:val="center"/>
          </w:tcPr>
          <w:p w14:paraId="31E2B630" w14:textId="16AF04FE" w:rsidR="00D93277" w:rsidRPr="0025585D" w:rsidRDefault="001F5EE5" w:rsidP="00920D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Nový parametr </w:t>
            </w:r>
          </w:p>
        </w:tc>
        <w:tc>
          <w:tcPr>
            <w:tcW w:w="585" w:type="pct"/>
            <w:vAlign w:val="center"/>
          </w:tcPr>
          <w:p w14:paraId="61742F7E" w14:textId="4542C03E" w:rsidR="00D93277" w:rsidRPr="0025585D" w:rsidRDefault="001F5EE5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D93277" w14:paraId="13BA2360" w14:textId="77777777" w:rsidTr="004E0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0C4FB58C" w14:textId="7CCFAA13" w:rsidR="00D93277" w:rsidRDefault="00D93277" w:rsidP="004E0575">
            <w:pPr>
              <w:spacing w:after="240" w:line="264" w:lineRule="auto"/>
              <w:jc w:val="both"/>
            </w:pPr>
            <w:r w:rsidRPr="004E0575">
              <w:rPr>
                <w:rFonts w:asciiTheme="minorHAnsi" w:hAnsiTheme="minorHAnsi"/>
              </w:rPr>
              <w:t>B11</w:t>
            </w:r>
          </w:p>
        </w:tc>
        <w:tc>
          <w:tcPr>
            <w:tcW w:w="1416" w:type="pct"/>
            <w:vAlign w:val="center"/>
          </w:tcPr>
          <w:p w14:paraId="68F482D0" w14:textId="45BC9988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Stav</w:t>
            </w:r>
          </w:p>
        </w:tc>
        <w:tc>
          <w:tcPr>
            <w:tcW w:w="966" w:type="pct"/>
            <w:vAlign w:val="center"/>
          </w:tcPr>
          <w:p w14:paraId="074B664B" w14:textId="6F5ACF58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Rozřazuje byty na byty v původním stavu a byty po rekonstrukci. </w:t>
            </w:r>
            <w:r w:rsidRPr="0025585D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V případě uvedení bytu po rekonstrukci se uvádí také rok rekonstrukce. </w:t>
            </w:r>
          </w:p>
        </w:tc>
        <w:tc>
          <w:tcPr>
            <w:tcW w:w="809" w:type="pct"/>
            <w:vAlign w:val="center"/>
          </w:tcPr>
          <w:p w14:paraId="72A000F8" w14:textId="09D1541D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lastRenderedPageBreak/>
              <w:t>Text</w:t>
            </w:r>
          </w:p>
        </w:tc>
        <w:tc>
          <w:tcPr>
            <w:tcW w:w="666" w:type="pct"/>
            <w:vAlign w:val="center"/>
          </w:tcPr>
          <w:p w14:paraId="7F520CFF" w14:textId="7787C7E6" w:rsidR="00D93277" w:rsidRPr="0025585D" w:rsidRDefault="009545D6" w:rsidP="00920D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Nový parametr </w:t>
            </w:r>
          </w:p>
        </w:tc>
        <w:tc>
          <w:tcPr>
            <w:tcW w:w="585" w:type="pct"/>
            <w:vAlign w:val="center"/>
          </w:tcPr>
          <w:p w14:paraId="09C989DA" w14:textId="53E8B812" w:rsidR="00D93277" w:rsidRPr="0025585D" w:rsidRDefault="009545D6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D93277" w14:paraId="1EFE3A91" w14:textId="77777777" w:rsidTr="004E057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66EBCFAC" w14:textId="2FA4667C" w:rsidR="00D93277" w:rsidRDefault="00D93277" w:rsidP="004E0575">
            <w:pPr>
              <w:spacing w:after="240" w:line="264" w:lineRule="auto"/>
              <w:jc w:val="both"/>
            </w:pPr>
            <w:r w:rsidRPr="004E0575">
              <w:rPr>
                <w:rFonts w:asciiTheme="minorHAnsi" w:hAnsiTheme="minorHAnsi"/>
              </w:rPr>
              <w:t>B12</w:t>
            </w:r>
          </w:p>
        </w:tc>
        <w:tc>
          <w:tcPr>
            <w:tcW w:w="1416" w:type="pct"/>
            <w:vAlign w:val="center"/>
          </w:tcPr>
          <w:p w14:paraId="7F8AE35B" w14:textId="50FC80DB" w:rsidR="00D93277" w:rsidRPr="0025585D" w:rsidRDefault="00D93277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Záměr s bytem</w:t>
            </w:r>
          </w:p>
        </w:tc>
        <w:tc>
          <w:tcPr>
            <w:tcW w:w="966" w:type="pct"/>
            <w:vAlign w:val="center"/>
          </w:tcPr>
          <w:p w14:paraId="0E410D27" w14:textId="01E83B49" w:rsidR="00D93277" w:rsidRPr="0025585D" w:rsidRDefault="00D93277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Vyjádření plánovaného záměru s bytem. </w:t>
            </w:r>
          </w:p>
        </w:tc>
        <w:tc>
          <w:tcPr>
            <w:tcW w:w="809" w:type="pct"/>
            <w:vAlign w:val="center"/>
          </w:tcPr>
          <w:p w14:paraId="70A244A4" w14:textId="45371E4F" w:rsidR="00D93277" w:rsidRPr="0025585D" w:rsidRDefault="00D93277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66" w:type="pct"/>
            <w:vAlign w:val="center"/>
          </w:tcPr>
          <w:p w14:paraId="1C303F9E" w14:textId="57C01A22" w:rsidR="00D93277" w:rsidRPr="0025585D" w:rsidRDefault="009545D6" w:rsidP="00920D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Nový parametr </w:t>
            </w:r>
          </w:p>
        </w:tc>
        <w:tc>
          <w:tcPr>
            <w:tcW w:w="585" w:type="pct"/>
            <w:vAlign w:val="center"/>
          </w:tcPr>
          <w:p w14:paraId="02054394" w14:textId="1C47832C" w:rsidR="00D93277" w:rsidRPr="0025585D" w:rsidRDefault="009545D6" w:rsidP="00D93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D93277" w14:paraId="4EAE1976" w14:textId="77777777" w:rsidTr="004E0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1A199031" w14:textId="48BA9992" w:rsidR="00D93277" w:rsidRDefault="00D93277" w:rsidP="004E0575">
            <w:pPr>
              <w:spacing w:after="240" w:line="264" w:lineRule="auto"/>
              <w:jc w:val="both"/>
            </w:pPr>
            <w:r w:rsidRPr="004E0575">
              <w:rPr>
                <w:rFonts w:asciiTheme="minorHAnsi" w:hAnsiTheme="minorHAnsi"/>
              </w:rPr>
              <w:t>B13</w:t>
            </w:r>
          </w:p>
        </w:tc>
        <w:tc>
          <w:tcPr>
            <w:tcW w:w="1416" w:type="pct"/>
            <w:vAlign w:val="center"/>
          </w:tcPr>
          <w:p w14:paraId="61BD652A" w14:textId="39A24EE8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Adresa</w:t>
            </w:r>
          </w:p>
        </w:tc>
        <w:tc>
          <w:tcPr>
            <w:tcW w:w="966" w:type="pct"/>
            <w:vAlign w:val="center"/>
          </w:tcPr>
          <w:p w14:paraId="39DEF365" w14:textId="22B9DE18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Adresa bytu</w:t>
            </w:r>
          </w:p>
        </w:tc>
        <w:tc>
          <w:tcPr>
            <w:tcW w:w="809" w:type="pct"/>
            <w:vAlign w:val="center"/>
          </w:tcPr>
          <w:p w14:paraId="392C3C30" w14:textId="4F8A00F4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66" w:type="pct"/>
            <w:vAlign w:val="center"/>
          </w:tcPr>
          <w:p w14:paraId="710DD6C0" w14:textId="4262735E" w:rsidR="00D93277" w:rsidRPr="0025585D" w:rsidRDefault="004E0575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SAP </w:t>
            </w:r>
            <w:r w:rsidR="00D93277" w:rsidRPr="0025585D">
              <w:rPr>
                <w:rFonts w:asciiTheme="minorHAnsi" w:hAnsiTheme="minorHAnsi"/>
                <w:sz w:val="18"/>
                <w:szCs w:val="18"/>
              </w:rPr>
              <w:t>REM</w:t>
            </w:r>
          </w:p>
        </w:tc>
        <w:tc>
          <w:tcPr>
            <w:tcW w:w="585" w:type="pct"/>
            <w:vAlign w:val="center"/>
          </w:tcPr>
          <w:p w14:paraId="3AF4715F" w14:textId="2A701C98" w:rsidR="00D93277" w:rsidRPr="0025585D" w:rsidRDefault="00D93277" w:rsidP="00D93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9545D6" w14:paraId="6E0CAFF0" w14:textId="77777777" w:rsidTr="00920D5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vAlign w:val="center"/>
          </w:tcPr>
          <w:p w14:paraId="08139671" w14:textId="2A05BEAC" w:rsidR="009545D6" w:rsidRDefault="009545D6" w:rsidP="004E0575">
            <w:pPr>
              <w:spacing w:after="240" w:line="264" w:lineRule="auto"/>
              <w:jc w:val="both"/>
            </w:pPr>
            <w:r w:rsidRPr="004E0575">
              <w:rPr>
                <w:rFonts w:asciiTheme="minorHAnsi" w:hAnsiTheme="minorHAnsi"/>
              </w:rPr>
              <w:t>B14</w:t>
            </w:r>
          </w:p>
        </w:tc>
        <w:tc>
          <w:tcPr>
            <w:tcW w:w="1416" w:type="pct"/>
            <w:vAlign w:val="center"/>
          </w:tcPr>
          <w:p w14:paraId="727F26F8" w14:textId="3970A2F4" w:rsidR="009545D6" w:rsidRPr="0025585D" w:rsidRDefault="009545D6" w:rsidP="009545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Parcelní číslo budovy</w:t>
            </w:r>
          </w:p>
        </w:tc>
        <w:tc>
          <w:tcPr>
            <w:tcW w:w="966" w:type="pct"/>
            <w:vAlign w:val="center"/>
          </w:tcPr>
          <w:p w14:paraId="1306E199" w14:textId="4F88ECC2" w:rsidR="009545D6" w:rsidRPr="0025585D" w:rsidRDefault="009545D6" w:rsidP="009545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Parcelní číslo budovy</w:t>
            </w:r>
            <w:r w:rsidR="00D43061" w:rsidRPr="0025585D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 (</w:t>
            </w:r>
            <w:r w:rsidR="00D43061" w:rsidRPr="0025585D">
              <w:rPr>
                <w:rFonts w:asciiTheme="minorHAnsi" w:hAnsiTheme="minorHAnsi"/>
                <w:sz w:val="18"/>
                <w:szCs w:val="18"/>
              </w:rPr>
              <w:t>evidováno na Technických datech budovy)</w:t>
            </w:r>
          </w:p>
        </w:tc>
        <w:tc>
          <w:tcPr>
            <w:tcW w:w="809" w:type="pct"/>
            <w:vAlign w:val="center"/>
          </w:tcPr>
          <w:p w14:paraId="0A095478" w14:textId="6E4D1309" w:rsidR="009545D6" w:rsidRPr="0025585D" w:rsidRDefault="00E803A4" w:rsidP="009545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i/>
                <w:iCs/>
                <w:sz w:val="18"/>
                <w:szCs w:val="18"/>
              </w:rPr>
              <w:t>T</w:t>
            </w:r>
            <w:r w:rsidRPr="0025585D">
              <w:rPr>
                <w:rFonts w:asciiTheme="minorHAnsi" w:hAnsiTheme="minorHAnsi"/>
                <w:sz w:val="18"/>
                <w:szCs w:val="18"/>
              </w:rPr>
              <w:t>ext</w:t>
            </w:r>
          </w:p>
        </w:tc>
        <w:tc>
          <w:tcPr>
            <w:tcW w:w="666" w:type="pct"/>
            <w:vAlign w:val="center"/>
          </w:tcPr>
          <w:p w14:paraId="22FA47AD" w14:textId="4A6EA0FC" w:rsidR="009545D6" w:rsidRPr="0025585D" w:rsidRDefault="009545D6" w:rsidP="009545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  <w:vAlign w:val="center"/>
          </w:tcPr>
          <w:p w14:paraId="769C87A5" w14:textId="6E7F94E9" w:rsidR="009545D6" w:rsidRPr="0025585D" w:rsidRDefault="009545D6" w:rsidP="009545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</w:tbl>
    <w:p w14:paraId="06323882" w14:textId="0F051C4F" w:rsidR="00D93277" w:rsidRDefault="00D93277" w:rsidP="00AF7329">
      <w:pPr>
        <w:jc w:val="both"/>
        <w:rPr>
          <w:sz w:val="20"/>
          <w:szCs w:val="20"/>
        </w:rPr>
      </w:pPr>
    </w:p>
    <w:p w14:paraId="521BAB16" w14:textId="77777777" w:rsidR="00E803A4" w:rsidRDefault="00E803A4" w:rsidP="00AF7329">
      <w:pPr>
        <w:jc w:val="both"/>
        <w:rPr>
          <w:sz w:val="20"/>
          <w:szCs w:val="20"/>
        </w:rPr>
      </w:pPr>
    </w:p>
    <w:tbl>
      <w:tblPr>
        <w:tblStyle w:val="Tabulkaseznamu3zvraznn11"/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36"/>
        <w:gridCol w:w="2201"/>
        <w:gridCol w:w="1970"/>
        <w:gridCol w:w="1309"/>
        <w:gridCol w:w="1040"/>
        <w:gridCol w:w="1336"/>
      </w:tblGrid>
      <w:tr w:rsidR="00E803A4" w:rsidRPr="004269EE" w14:paraId="4D151CE2" w14:textId="77777777" w:rsidTr="00920D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5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18" w:type="pct"/>
            <w:vAlign w:val="center"/>
          </w:tcPr>
          <w:p w14:paraId="21B4C4CD" w14:textId="77777777" w:rsidR="00E803A4" w:rsidRPr="00AD4A2A" w:rsidRDefault="00E803A4" w:rsidP="0012204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ID</w:t>
            </w:r>
          </w:p>
        </w:tc>
        <w:tc>
          <w:tcPr>
            <w:tcW w:w="1303" w:type="pct"/>
            <w:vAlign w:val="center"/>
          </w:tcPr>
          <w:p w14:paraId="2EEEA26C" w14:textId="77777777" w:rsidR="00E803A4" w:rsidRPr="00AD4A2A" w:rsidRDefault="00E803A4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Položka (název)</w:t>
            </w:r>
          </w:p>
        </w:tc>
        <w:tc>
          <w:tcPr>
            <w:tcW w:w="1170" w:type="pct"/>
          </w:tcPr>
          <w:p w14:paraId="13D9DAAF" w14:textId="77777777" w:rsidR="00E803A4" w:rsidRPr="0025585D" w:rsidRDefault="00E803A4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25585D">
              <w:rPr>
                <w:rFonts w:asciiTheme="minorHAnsi" w:hAnsiTheme="minorHAnsi"/>
              </w:rPr>
              <w:t>Popis položky</w:t>
            </w:r>
          </w:p>
        </w:tc>
        <w:tc>
          <w:tcPr>
            <w:tcW w:w="773" w:type="pct"/>
          </w:tcPr>
          <w:p w14:paraId="27A7300F" w14:textId="77777777" w:rsidR="00E803A4" w:rsidRPr="0025585D" w:rsidRDefault="00E803A4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25585D">
              <w:rPr>
                <w:rFonts w:asciiTheme="minorHAnsi" w:hAnsiTheme="minorHAnsi"/>
              </w:rPr>
              <w:t>Formát zobrazení</w:t>
            </w:r>
          </w:p>
        </w:tc>
        <w:tc>
          <w:tcPr>
            <w:tcW w:w="651" w:type="pct"/>
          </w:tcPr>
          <w:p w14:paraId="53EB8A09" w14:textId="77777777" w:rsidR="00E803A4" w:rsidRPr="0025585D" w:rsidRDefault="00E803A4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25585D">
              <w:rPr>
                <w:rFonts w:asciiTheme="minorHAnsi" w:hAnsiTheme="minorHAnsi"/>
              </w:rPr>
              <w:t>Datový zdroj</w:t>
            </w:r>
          </w:p>
        </w:tc>
        <w:tc>
          <w:tcPr>
            <w:tcW w:w="585" w:type="pct"/>
          </w:tcPr>
          <w:p w14:paraId="0E1B6C44" w14:textId="77777777" w:rsidR="00E803A4" w:rsidRPr="0025585D" w:rsidRDefault="00E803A4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25585D">
              <w:rPr>
                <w:rFonts w:asciiTheme="minorHAnsi" w:hAnsiTheme="minorHAnsi"/>
              </w:rPr>
              <w:t>Způsob předávání dat</w:t>
            </w:r>
          </w:p>
        </w:tc>
      </w:tr>
      <w:tr w:rsidR="00E803A4" w14:paraId="2E2EB474" w14:textId="77777777" w:rsidTr="00920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vAlign w:val="center"/>
          </w:tcPr>
          <w:p w14:paraId="3E01DC13" w14:textId="65812B67" w:rsidR="00E803A4" w:rsidRPr="00AD4A2A" w:rsidRDefault="00E803A4" w:rsidP="00E803A4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4E0575">
              <w:rPr>
                <w:rFonts w:asciiTheme="minorHAnsi" w:hAnsiTheme="minorHAnsi"/>
              </w:rPr>
              <w:t>B15</w:t>
            </w:r>
          </w:p>
        </w:tc>
        <w:tc>
          <w:tcPr>
            <w:tcW w:w="1303" w:type="pct"/>
            <w:vAlign w:val="center"/>
          </w:tcPr>
          <w:p w14:paraId="686493CD" w14:textId="62D9FA93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Číslo smlouvy</w:t>
            </w:r>
          </w:p>
        </w:tc>
        <w:tc>
          <w:tcPr>
            <w:tcW w:w="1170" w:type="pct"/>
            <w:vAlign w:val="center"/>
          </w:tcPr>
          <w:p w14:paraId="75870393" w14:textId="5F6EB1D1" w:rsidR="00E803A4" w:rsidRPr="0025585D" w:rsidRDefault="00E803A4" w:rsidP="00E803A4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Identifikátor smlouvy dle SAP</w:t>
            </w:r>
          </w:p>
        </w:tc>
        <w:tc>
          <w:tcPr>
            <w:tcW w:w="773" w:type="pct"/>
            <w:vAlign w:val="center"/>
          </w:tcPr>
          <w:p w14:paraId="57A11204" w14:textId="34A885A7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51" w:type="pct"/>
            <w:vAlign w:val="center"/>
          </w:tcPr>
          <w:p w14:paraId="593D07C8" w14:textId="6EC74430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  <w:vAlign w:val="center"/>
          </w:tcPr>
          <w:p w14:paraId="156065D1" w14:textId="14CF37F6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E803A4" w:rsidRPr="00011CD1" w14:paraId="278FFD43" w14:textId="77777777" w:rsidTr="00920D54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vAlign w:val="center"/>
          </w:tcPr>
          <w:p w14:paraId="50CDA274" w14:textId="0B5509AD" w:rsidR="00E803A4" w:rsidRPr="00AD4A2A" w:rsidRDefault="00E803A4" w:rsidP="00E803A4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4E0575">
              <w:rPr>
                <w:rFonts w:asciiTheme="minorHAnsi" w:hAnsiTheme="minorHAnsi"/>
              </w:rPr>
              <w:t>B16</w:t>
            </w:r>
          </w:p>
        </w:tc>
        <w:tc>
          <w:tcPr>
            <w:tcW w:w="1303" w:type="pct"/>
            <w:vAlign w:val="center"/>
          </w:tcPr>
          <w:p w14:paraId="7BDE0D96" w14:textId="3506762F" w:rsidR="00E803A4" w:rsidRPr="0025585D" w:rsidRDefault="00E803A4" w:rsidP="00E803A4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Typ smlouvy</w:t>
            </w:r>
          </w:p>
        </w:tc>
        <w:tc>
          <w:tcPr>
            <w:tcW w:w="1170" w:type="pct"/>
            <w:vAlign w:val="center"/>
          </w:tcPr>
          <w:p w14:paraId="10BC1E58" w14:textId="53F0A671" w:rsidR="00E803A4" w:rsidRPr="0025585D" w:rsidRDefault="00E803A4" w:rsidP="00E803A4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Rozřazuje smlouvy na dobu určitou a neurčitou.</w:t>
            </w:r>
          </w:p>
        </w:tc>
        <w:tc>
          <w:tcPr>
            <w:tcW w:w="773" w:type="pct"/>
            <w:vAlign w:val="center"/>
          </w:tcPr>
          <w:p w14:paraId="1BE4CA59" w14:textId="522E0DD3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51" w:type="pct"/>
            <w:vAlign w:val="center"/>
          </w:tcPr>
          <w:p w14:paraId="33336A89" w14:textId="53E20096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  <w:vAlign w:val="center"/>
          </w:tcPr>
          <w:p w14:paraId="568AD812" w14:textId="4BBECD1E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E803A4" w14:paraId="6C159CF2" w14:textId="77777777" w:rsidTr="00920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vAlign w:val="center"/>
          </w:tcPr>
          <w:p w14:paraId="59F3BB32" w14:textId="5CAE810B" w:rsidR="00E803A4" w:rsidRPr="00AD4A2A" w:rsidRDefault="00E803A4" w:rsidP="00E803A4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4E0575">
              <w:rPr>
                <w:rFonts w:asciiTheme="minorHAnsi" w:hAnsiTheme="minorHAnsi"/>
              </w:rPr>
              <w:t>B17</w:t>
            </w:r>
          </w:p>
        </w:tc>
        <w:tc>
          <w:tcPr>
            <w:tcW w:w="1303" w:type="pct"/>
            <w:vAlign w:val="center"/>
          </w:tcPr>
          <w:p w14:paraId="76614E6B" w14:textId="4FA4EF30" w:rsidR="00E803A4" w:rsidRPr="0025585D" w:rsidRDefault="00E803A4" w:rsidP="00E803A4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Nájemce</w:t>
            </w:r>
          </w:p>
        </w:tc>
        <w:tc>
          <w:tcPr>
            <w:tcW w:w="1170" w:type="pct"/>
            <w:vAlign w:val="center"/>
          </w:tcPr>
          <w:p w14:paraId="0E0A563C" w14:textId="0578F68F" w:rsidR="00E803A4" w:rsidRPr="0025585D" w:rsidRDefault="00E803A4" w:rsidP="00E803A4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Jméno nájemce</w:t>
            </w:r>
          </w:p>
        </w:tc>
        <w:tc>
          <w:tcPr>
            <w:tcW w:w="773" w:type="pct"/>
            <w:vAlign w:val="center"/>
          </w:tcPr>
          <w:p w14:paraId="3D9AFCE9" w14:textId="0C977191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Text</w:t>
            </w:r>
          </w:p>
        </w:tc>
        <w:tc>
          <w:tcPr>
            <w:tcW w:w="651" w:type="pct"/>
            <w:vAlign w:val="center"/>
          </w:tcPr>
          <w:p w14:paraId="7DE54A90" w14:textId="2314CB16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  <w:vAlign w:val="center"/>
          </w:tcPr>
          <w:p w14:paraId="606A60EF" w14:textId="144B8CB0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E803A4" w14:paraId="0ED4FACF" w14:textId="77777777" w:rsidTr="00920D54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vAlign w:val="center"/>
          </w:tcPr>
          <w:p w14:paraId="1432CDE1" w14:textId="67523109" w:rsidR="00E803A4" w:rsidRPr="00AD4A2A" w:rsidRDefault="00E803A4" w:rsidP="00E803A4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 w:rsidRPr="004E0575">
              <w:rPr>
                <w:rFonts w:asciiTheme="minorHAnsi" w:hAnsiTheme="minorHAnsi"/>
              </w:rPr>
              <w:t>B18</w:t>
            </w:r>
          </w:p>
        </w:tc>
        <w:tc>
          <w:tcPr>
            <w:tcW w:w="1303" w:type="pct"/>
            <w:vAlign w:val="center"/>
          </w:tcPr>
          <w:p w14:paraId="7C10DBD2" w14:textId="6E2C8E6B" w:rsidR="00E803A4" w:rsidRPr="0025585D" w:rsidRDefault="00E803A4" w:rsidP="00E803A4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Platná </w:t>
            </w:r>
            <w:proofErr w:type="gramStart"/>
            <w:r w:rsidRPr="0025585D">
              <w:rPr>
                <w:rFonts w:asciiTheme="minorHAnsi" w:hAnsiTheme="minorHAnsi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1170" w:type="pct"/>
            <w:vAlign w:val="center"/>
          </w:tcPr>
          <w:p w14:paraId="2DCDF223" w14:textId="3E609F39" w:rsidR="00E803A4" w:rsidRPr="0025585D" w:rsidRDefault="00E803A4" w:rsidP="00E803A4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Datum, od kterého je smlouvat platná </w:t>
            </w:r>
          </w:p>
        </w:tc>
        <w:tc>
          <w:tcPr>
            <w:tcW w:w="773" w:type="pct"/>
            <w:vAlign w:val="center"/>
          </w:tcPr>
          <w:p w14:paraId="50CF0374" w14:textId="1BC92D65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Datum</w:t>
            </w:r>
          </w:p>
        </w:tc>
        <w:tc>
          <w:tcPr>
            <w:tcW w:w="651" w:type="pct"/>
            <w:vAlign w:val="center"/>
          </w:tcPr>
          <w:p w14:paraId="30C451B5" w14:textId="34FEB459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  <w:vAlign w:val="center"/>
          </w:tcPr>
          <w:p w14:paraId="767F5B0D" w14:textId="7FDF3944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E803A4" w14:paraId="6122C573" w14:textId="77777777" w:rsidTr="00920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vAlign w:val="center"/>
          </w:tcPr>
          <w:p w14:paraId="1BA69F0F" w14:textId="147D2830" w:rsidR="00E803A4" w:rsidRDefault="00E803A4" w:rsidP="004E0575">
            <w:pPr>
              <w:spacing w:after="240" w:line="264" w:lineRule="auto"/>
              <w:jc w:val="both"/>
            </w:pPr>
            <w:r w:rsidRPr="004E0575">
              <w:rPr>
                <w:rFonts w:asciiTheme="minorHAnsi" w:hAnsiTheme="minorHAnsi"/>
              </w:rPr>
              <w:t>B19</w:t>
            </w:r>
          </w:p>
        </w:tc>
        <w:tc>
          <w:tcPr>
            <w:tcW w:w="1303" w:type="pct"/>
            <w:vAlign w:val="center"/>
          </w:tcPr>
          <w:p w14:paraId="6230BD57" w14:textId="1AF88AEE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Platná </w:t>
            </w:r>
            <w:proofErr w:type="gramStart"/>
            <w:r w:rsidRPr="0025585D">
              <w:rPr>
                <w:rFonts w:asciiTheme="minorHAnsi" w:hAnsiTheme="minorHAnsi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1170" w:type="pct"/>
            <w:vAlign w:val="center"/>
          </w:tcPr>
          <w:p w14:paraId="02DCA9F8" w14:textId="4BF6840F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Datum, do kterého je smlouvat platná </w:t>
            </w:r>
          </w:p>
        </w:tc>
        <w:tc>
          <w:tcPr>
            <w:tcW w:w="773" w:type="pct"/>
            <w:vAlign w:val="center"/>
          </w:tcPr>
          <w:p w14:paraId="66715021" w14:textId="4B3504BF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Datum</w:t>
            </w:r>
          </w:p>
        </w:tc>
        <w:tc>
          <w:tcPr>
            <w:tcW w:w="651" w:type="pct"/>
            <w:vAlign w:val="center"/>
          </w:tcPr>
          <w:p w14:paraId="241BF54F" w14:textId="5864FD08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  <w:vAlign w:val="center"/>
          </w:tcPr>
          <w:p w14:paraId="5F9E90B8" w14:textId="4E267670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E803A4" w14:paraId="36ADB0C4" w14:textId="77777777" w:rsidTr="00920D54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vAlign w:val="center"/>
          </w:tcPr>
          <w:p w14:paraId="0DFDA81E" w14:textId="68A7331D" w:rsidR="00E803A4" w:rsidRDefault="00E803A4" w:rsidP="004E0575">
            <w:pPr>
              <w:spacing w:after="240" w:line="264" w:lineRule="auto"/>
              <w:jc w:val="both"/>
            </w:pPr>
            <w:r w:rsidRPr="004E0575">
              <w:rPr>
                <w:rFonts w:asciiTheme="minorHAnsi" w:hAnsiTheme="minorHAnsi"/>
              </w:rPr>
              <w:t>B20</w:t>
            </w:r>
          </w:p>
        </w:tc>
        <w:tc>
          <w:tcPr>
            <w:tcW w:w="1303" w:type="pct"/>
            <w:vAlign w:val="center"/>
          </w:tcPr>
          <w:p w14:paraId="57274A7C" w14:textId="2AA48F5A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Volné od</w:t>
            </w:r>
            <w:r w:rsidR="00B549F3" w:rsidRPr="0025585D">
              <w:rPr>
                <w:rFonts w:asciiTheme="minorHAnsi" w:hAnsiTheme="minorHAnsi"/>
                <w:sz w:val="18"/>
                <w:szCs w:val="18"/>
              </w:rPr>
              <w:t xml:space="preserve"> (Pozn. v realitě se může lišit od hodnoty B19)</w:t>
            </w:r>
          </w:p>
        </w:tc>
        <w:tc>
          <w:tcPr>
            <w:tcW w:w="1170" w:type="pct"/>
            <w:vAlign w:val="center"/>
          </w:tcPr>
          <w:p w14:paraId="19614ABF" w14:textId="2F01E2DE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Datum, od kterého dle interní evidence je nájemní objekt (byt) volný k pronájmu. </w:t>
            </w:r>
          </w:p>
        </w:tc>
        <w:tc>
          <w:tcPr>
            <w:tcW w:w="773" w:type="pct"/>
            <w:vAlign w:val="center"/>
          </w:tcPr>
          <w:p w14:paraId="447D30BE" w14:textId="72B6B3AF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Datum</w:t>
            </w:r>
          </w:p>
        </w:tc>
        <w:tc>
          <w:tcPr>
            <w:tcW w:w="651" w:type="pct"/>
            <w:vAlign w:val="center"/>
          </w:tcPr>
          <w:p w14:paraId="11C3BB13" w14:textId="0BCAEAD7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  <w:vAlign w:val="center"/>
          </w:tcPr>
          <w:p w14:paraId="1CEC7769" w14:textId="4A5D50C5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E803A4" w14:paraId="3F5BA125" w14:textId="77777777" w:rsidTr="00920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vAlign w:val="center"/>
          </w:tcPr>
          <w:p w14:paraId="40631CD4" w14:textId="1EEC5F69" w:rsidR="00E803A4" w:rsidRDefault="00E803A4" w:rsidP="004E0575">
            <w:pPr>
              <w:spacing w:after="240" w:line="264" w:lineRule="auto"/>
              <w:jc w:val="both"/>
            </w:pPr>
            <w:r w:rsidRPr="004E0575">
              <w:rPr>
                <w:rFonts w:asciiTheme="minorHAnsi" w:hAnsiTheme="minorHAnsi"/>
              </w:rPr>
              <w:t>B21</w:t>
            </w:r>
          </w:p>
        </w:tc>
        <w:tc>
          <w:tcPr>
            <w:tcW w:w="1303" w:type="pct"/>
            <w:vAlign w:val="center"/>
          </w:tcPr>
          <w:p w14:paraId="3555D1C0" w14:textId="38C3F36A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Celková výše nájemného za měsíc</w:t>
            </w:r>
          </w:p>
        </w:tc>
        <w:tc>
          <w:tcPr>
            <w:tcW w:w="1170" w:type="pct"/>
            <w:vAlign w:val="center"/>
          </w:tcPr>
          <w:p w14:paraId="385C7955" w14:textId="505DF8B5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Celková výše nájemného</w:t>
            </w:r>
          </w:p>
        </w:tc>
        <w:tc>
          <w:tcPr>
            <w:tcW w:w="773" w:type="pct"/>
            <w:vAlign w:val="center"/>
          </w:tcPr>
          <w:p w14:paraId="4EA78FC3" w14:textId="401B115E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Hodnota</w:t>
            </w:r>
          </w:p>
        </w:tc>
        <w:tc>
          <w:tcPr>
            <w:tcW w:w="651" w:type="pct"/>
            <w:vAlign w:val="center"/>
          </w:tcPr>
          <w:p w14:paraId="0D431C89" w14:textId="4EF0905C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  <w:vAlign w:val="center"/>
          </w:tcPr>
          <w:p w14:paraId="62AA6E70" w14:textId="74A7578B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E803A4" w14:paraId="6B1007A2" w14:textId="77777777" w:rsidTr="00920D54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vAlign w:val="center"/>
          </w:tcPr>
          <w:p w14:paraId="3941D5D8" w14:textId="67967A37" w:rsidR="00E803A4" w:rsidRDefault="00E803A4" w:rsidP="004E0575">
            <w:pPr>
              <w:spacing w:after="240" w:line="264" w:lineRule="auto"/>
              <w:jc w:val="both"/>
            </w:pPr>
            <w:r w:rsidRPr="004E0575">
              <w:rPr>
                <w:rFonts w:asciiTheme="minorHAnsi" w:hAnsiTheme="minorHAnsi"/>
              </w:rPr>
              <w:t>B22</w:t>
            </w:r>
          </w:p>
        </w:tc>
        <w:tc>
          <w:tcPr>
            <w:tcW w:w="1303" w:type="pct"/>
            <w:vAlign w:val="center"/>
          </w:tcPr>
          <w:p w14:paraId="2DB58B4C" w14:textId="059F4DC3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Výše nájemného</w:t>
            </w:r>
          </w:p>
        </w:tc>
        <w:tc>
          <w:tcPr>
            <w:tcW w:w="1170" w:type="pct"/>
            <w:vAlign w:val="center"/>
          </w:tcPr>
          <w:p w14:paraId="28ADB58F" w14:textId="4B76F5E0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Výše nájemného, nezahrnuje pronájem zařizovacích předmětů. </w:t>
            </w:r>
          </w:p>
        </w:tc>
        <w:tc>
          <w:tcPr>
            <w:tcW w:w="773" w:type="pct"/>
            <w:vAlign w:val="center"/>
          </w:tcPr>
          <w:p w14:paraId="2B1AE559" w14:textId="2DC36985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Hodnota</w:t>
            </w:r>
          </w:p>
        </w:tc>
        <w:tc>
          <w:tcPr>
            <w:tcW w:w="651" w:type="pct"/>
            <w:vAlign w:val="center"/>
          </w:tcPr>
          <w:p w14:paraId="41DD5C3A" w14:textId="3F25D317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FF0000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  <w:vAlign w:val="center"/>
          </w:tcPr>
          <w:p w14:paraId="6427EF31" w14:textId="594B3AFE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E803A4" w14:paraId="63351F7C" w14:textId="77777777" w:rsidTr="00920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vAlign w:val="center"/>
          </w:tcPr>
          <w:p w14:paraId="6101D413" w14:textId="77E2EB10" w:rsidR="00E803A4" w:rsidRDefault="00E803A4" w:rsidP="004E0575">
            <w:pPr>
              <w:spacing w:after="240" w:line="264" w:lineRule="auto"/>
              <w:jc w:val="both"/>
            </w:pPr>
            <w:r w:rsidRPr="004E0575">
              <w:rPr>
                <w:rFonts w:asciiTheme="minorHAnsi" w:hAnsiTheme="minorHAnsi"/>
              </w:rPr>
              <w:lastRenderedPageBreak/>
              <w:t>B23</w:t>
            </w:r>
          </w:p>
        </w:tc>
        <w:tc>
          <w:tcPr>
            <w:tcW w:w="1303" w:type="pct"/>
            <w:vAlign w:val="center"/>
          </w:tcPr>
          <w:p w14:paraId="1E31D16B" w14:textId="792B7F50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Pronájem zařizovacích předmětů</w:t>
            </w:r>
          </w:p>
        </w:tc>
        <w:tc>
          <w:tcPr>
            <w:tcW w:w="1170" w:type="pct"/>
            <w:vAlign w:val="center"/>
          </w:tcPr>
          <w:p w14:paraId="783BBAA7" w14:textId="14C01F4B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Výše nájemného za zařizovací předměty</w:t>
            </w:r>
          </w:p>
        </w:tc>
        <w:tc>
          <w:tcPr>
            <w:tcW w:w="773" w:type="pct"/>
            <w:vAlign w:val="center"/>
          </w:tcPr>
          <w:p w14:paraId="26748F22" w14:textId="297D4435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Hodnota</w:t>
            </w:r>
          </w:p>
        </w:tc>
        <w:tc>
          <w:tcPr>
            <w:tcW w:w="651" w:type="pct"/>
            <w:vAlign w:val="center"/>
          </w:tcPr>
          <w:p w14:paraId="60A3C592" w14:textId="04952CA7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  <w:vAlign w:val="center"/>
          </w:tcPr>
          <w:p w14:paraId="05DF510D" w14:textId="50DBBE13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E803A4" w14:paraId="38C25359" w14:textId="77777777" w:rsidTr="00920D54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vAlign w:val="center"/>
          </w:tcPr>
          <w:p w14:paraId="0805C7FE" w14:textId="48489F96" w:rsidR="00E803A4" w:rsidRDefault="00E803A4" w:rsidP="004E0575">
            <w:pPr>
              <w:spacing w:after="240" w:line="264" w:lineRule="auto"/>
              <w:jc w:val="both"/>
            </w:pPr>
            <w:r w:rsidRPr="004E0575">
              <w:rPr>
                <w:rFonts w:asciiTheme="minorHAnsi" w:hAnsiTheme="minorHAnsi"/>
              </w:rPr>
              <w:t>B24</w:t>
            </w:r>
          </w:p>
        </w:tc>
        <w:tc>
          <w:tcPr>
            <w:tcW w:w="1303" w:type="pct"/>
            <w:vAlign w:val="center"/>
          </w:tcPr>
          <w:p w14:paraId="60D61CFC" w14:textId="3D340CEA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Cena za m</w:t>
            </w:r>
            <w:r w:rsidRPr="0025585D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70" w:type="pct"/>
            <w:vAlign w:val="center"/>
          </w:tcPr>
          <w:p w14:paraId="1122D4DA" w14:textId="10E032B2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Výše nájemného přepočtená na m</w:t>
            </w:r>
            <w:r w:rsidRPr="0025585D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73" w:type="pct"/>
            <w:vAlign w:val="center"/>
          </w:tcPr>
          <w:p w14:paraId="004C78DB" w14:textId="0405874C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Hodnota</w:t>
            </w:r>
          </w:p>
        </w:tc>
        <w:tc>
          <w:tcPr>
            <w:tcW w:w="651" w:type="pct"/>
            <w:vAlign w:val="center"/>
          </w:tcPr>
          <w:p w14:paraId="10C50BE1" w14:textId="6E0351DF" w:rsidR="00E803A4" w:rsidRPr="0025585D" w:rsidRDefault="00C9232F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SAP </w:t>
            </w:r>
            <w:r w:rsidR="00E803A4" w:rsidRPr="0025585D">
              <w:rPr>
                <w:rFonts w:asciiTheme="minorHAnsi" w:hAnsiTheme="minorHAnsi"/>
                <w:sz w:val="18"/>
                <w:szCs w:val="18"/>
              </w:rPr>
              <w:t>REM</w:t>
            </w:r>
          </w:p>
        </w:tc>
        <w:tc>
          <w:tcPr>
            <w:tcW w:w="585" w:type="pct"/>
            <w:vAlign w:val="center"/>
          </w:tcPr>
          <w:p w14:paraId="7265718E" w14:textId="7B92DF4A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E803A4" w14:paraId="4DFA8745" w14:textId="77777777" w:rsidTr="00920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vAlign w:val="center"/>
          </w:tcPr>
          <w:p w14:paraId="120445A4" w14:textId="1B81736E" w:rsidR="00E803A4" w:rsidRDefault="00E803A4" w:rsidP="004E0575">
            <w:pPr>
              <w:spacing w:after="240" w:line="264" w:lineRule="auto"/>
              <w:jc w:val="both"/>
            </w:pPr>
            <w:r w:rsidRPr="004E0575">
              <w:rPr>
                <w:rFonts w:asciiTheme="minorHAnsi" w:hAnsiTheme="minorHAnsi"/>
              </w:rPr>
              <w:t>B25</w:t>
            </w:r>
          </w:p>
        </w:tc>
        <w:tc>
          <w:tcPr>
            <w:tcW w:w="1303" w:type="pct"/>
            <w:vAlign w:val="center"/>
          </w:tcPr>
          <w:p w14:paraId="48F062EB" w14:textId="507DD94B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Jistota</w:t>
            </w:r>
          </w:p>
        </w:tc>
        <w:tc>
          <w:tcPr>
            <w:tcW w:w="1170" w:type="pct"/>
            <w:vAlign w:val="center"/>
          </w:tcPr>
          <w:p w14:paraId="490FB001" w14:textId="086D031C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Výše jistoty (kauce)</w:t>
            </w:r>
          </w:p>
        </w:tc>
        <w:tc>
          <w:tcPr>
            <w:tcW w:w="773" w:type="pct"/>
            <w:vAlign w:val="center"/>
          </w:tcPr>
          <w:p w14:paraId="79E00002" w14:textId="471B293A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Hodnota</w:t>
            </w:r>
          </w:p>
        </w:tc>
        <w:tc>
          <w:tcPr>
            <w:tcW w:w="651" w:type="pct"/>
            <w:vAlign w:val="center"/>
          </w:tcPr>
          <w:p w14:paraId="216D5147" w14:textId="0DFE308A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SAP</w:t>
            </w:r>
            <w:r w:rsidR="001D4C84" w:rsidRPr="0025585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25585D">
              <w:rPr>
                <w:rFonts w:asciiTheme="minorHAnsi" w:hAnsiTheme="minorHAnsi"/>
                <w:sz w:val="18"/>
                <w:szCs w:val="18"/>
              </w:rPr>
              <w:t>FI</w:t>
            </w:r>
          </w:p>
        </w:tc>
        <w:tc>
          <w:tcPr>
            <w:tcW w:w="585" w:type="pct"/>
            <w:vAlign w:val="center"/>
          </w:tcPr>
          <w:p w14:paraId="79D3D0B4" w14:textId="1F029934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</w:t>
            </w:r>
          </w:p>
        </w:tc>
      </w:tr>
      <w:tr w:rsidR="00E803A4" w14:paraId="1D0D6E43" w14:textId="77777777" w:rsidTr="00920D54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vAlign w:val="center"/>
          </w:tcPr>
          <w:p w14:paraId="1F2441E7" w14:textId="695A2B76" w:rsidR="00E803A4" w:rsidRDefault="00E803A4" w:rsidP="004E0575">
            <w:pPr>
              <w:spacing w:after="240" w:line="264" w:lineRule="auto"/>
              <w:jc w:val="both"/>
            </w:pPr>
            <w:r w:rsidRPr="004E0575">
              <w:rPr>
                <w:rFonts w:asciiTheme="minorHAnsi" w:hAnsiTheme="minorHAnsi"/>
              </w:rPr>
              <w:t>B26</w:t>
            </w:r>
          </w:p>
        </w:tc>
        <w:tc>
          <w:tcPr>
            <w:tcW w:w="1303" w:type="pct"/>
            <w:vAlign w:val="center"/>
          </w:tcPr>
          <w:p w14:paraId="4D00FA9B" w14:textId="6AD1E5B1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FF0000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Sleva</w:t>
            </w:r>
          </w:p>
        </w:tc>
        <w:tc>
          <w:tcPr>
            <w:tcW w:w="1170" w:type="pct"/>
            <w:vAlign w:val="center"/>
          </w:tcPr>
          <w:p w14:paraId="399AF549" w14:textId="2F22E579" w:rsidR="00E803A4" w:rsidRPr="0025585D" w:rsidRDefault="00C9232F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FF0000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Sleva (podmínky v nájemních objektech)</w:t>
            </w:r>
          </w:p>
        </w:tc>
        <w:tc>
          <w:tcPr>
            <w:tcW w:w="773" w:type="pct"/>
            <w:vAlign w:val="center"/>
          </w:tcPr>
          <w:p w14:paraId="08C0B75B" w14:textId="19C5200A" w:rsidR="00E803A4" w:rsidRPr="0025585D" w:rsidRDefault="00C9232F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FF0000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Hodnota</w:t>
            </w:r>
          </w:p>
        </w:tc>
        <w:tc>
          <w:tcPr>
            <w:tcW w:w="651" w:type="pct"/>
            <w:vAlign w:val="center"/>
          </w:tcPr>
          <w:p w14:paraId="6446DC9F" w14:textId="1C2ED6B8" w:rsidR="00E803A4" w:rsidRPr="0025585D" w:rsidRDefault="00C9232F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FF0000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</w:tcPr>
          <w:p w14:paraId="0D8AB34E" w14:textId="51403A19" w:rsidR="00E803A4" w:rsidRPr="0025585D" w:rsidRDefault="00C9232F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FF0000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E803A4" w14:paraId="14D132EF" w14:textId="77777777" w:rsidTr="00920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vAlign w:val="center"/>
          </w:tcPr>
          <w:p w14:paraId="274BB94A" w14:textId="7DBD55F3" w:rsidR="00E803A4" w:rsidRDefault="00E803A4" w:rsidP="004E0575">
            <w:pPr>
              <w:spacing w:after="240" w:line="264" w:lineRule="auto"/>
              <w:jc w:val="both"/>
            </w:pPr>
            <w:r w:rsidRPr="004E0575">
              <w:rPr>
                <w:rFonts w:asciiTheme="minorHAnsi" w:hAnsiTheme="minorHAnsi"/>
              </w:rPr>
              <w:t>B27</w:t>
            </w:r>
          </w:p>
        </w:tc>
        <w:tc>
          <w:tcPr>
            <w:tcW w:w="1303" w:type="pct"/>
            <w:vAlign w:val="center"/>
          </w:tcPr>
          <w:p w14:paraId="1F100129" w14:textId="49716B08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Inflace</w:t>
            </w:r>
          </w:p>
        </w:tc>
        <w:tc>
          <w:tcPr>
            <w:tcW w:w="1170" w:type="pct"/>
            <w:vAlign w:val="center"/>
          </w:tcPr>
          <w:p w14:paraId="44093AFD" w14:textId="1F23F929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V případě, že je součástí smlouvy také inflační doložka zobrazuje se zde tato informace. </w:t>
            </w:r>
          </w:p>
        </w:tc>
        <w:tc>
          <w:tcPr>
            <w:tcW w:w="773" w:type="pct"/>
            <w:vAlign w:val="center"/>
          </w:tcPr>
          <w:p w14:paraId="3128E57C" w14:textId="421A58E9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Hodnota</w:t>
            </w:r>
          </w:p>
        </w:tc>
        <w:tc>
          <w:tcPr>
            <w:tcW w:w="651" w:type="pct"/>
            <w:vAlign w:val="center"/>
          </w:tcPr>
          <w:p w14:paraId="08F89D44" w14:textId="4CD62F24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SAP REM</w:t>
            </w:r>
          </w:p>
        </w:tc>
        <w:tc>
          <w:tcPr>
            <w:tcW w:w="585" w:type="pct"/>
            <w:vAlign w:val="center"/>
          </w:tcPr>
          <w:p w14:paraId="44B5FDAA" w14:textId="12D722A1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E803A4" w14:paraId="1B6739E1" w14:textId="77777777" w:rsidTr="00920D54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vAlign w:val="center"/>
          </w:tcPr>
          <w:p w14:paraId="389BBBF0" w14:textId="31FB467D" w:rsidR="00E803A4" w:rsidRDefault="00E803A4" w:rsidP="004E0575">
            <w:pPr>
              <w:spacing w:after="240" w:line="264" w:lineRule="auto"/>
              <w:jc w:val="both"/>
            </w:pPr>
            <w:r w:rsidRPr="004E0575">
              <w:rPr>
                <w:rFonts w:asciiTheme="minorHAnsi" w:hAnsiTheme="minorHAnsi"/>
              </w:rPr>
              <w:t>B28</w:t>
            </w:r>
          </w:p>
        </w:tc>
        <w:tc>
          <w:tcPr>
            <w:tcW w:w="1303" w:type="pct"/>
            <w:vAlign w:val="center"/>
          </w:tcPr>
          <w:p w14:paraId="4985BA1B" w14:textId="6D104114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Poslední navýšení, Důvod navýšení</w:t>
            </w:r>
          </w:p>
        </w:tc>
        <w:tc>
          <w:tcPr>
            <w:tcW w:w="1170" w:type="pct"/>
            <w:vAlign w:val="center"/>
          </w:tcPr>
          <w:p w14:paraId="2A41886F" w14:textId="239D998C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Datum posledního navýšení hodnoty nájmu na smlouvě včetně uvedení důvodu (inflační doložka, změna ceny obvyklé, změna rozsahu předmětu nájmu apod.)*</w:t>
            </w:r>
          </w:p>
        </w:tc>
        <w:tc>
          <w:tcPr>
            <w:tcW w:w="773" w:type="pct"/>
            <w:vAlign w:val="center"/>
          </w:tcPr>
          <w:p w14:paraId="2F1BD002" w14:textId="71E6DD5B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Hodnota</w:t>
            </w:r>
          </w:p>
        </w:tc>
        <w:tc>
          <w:tcPr>
            <w:tcW w:w="651" w:type="pct"/>
            <w:vAlign w:val="center"/>
          </w:tcPr>
          <w:p w14:paraId="5907B3B8" w14:textId="56C7D484" w:rsidR="00E803A4" w:rsidRPr="0025585D" w:rsidRDefault="00C9232F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SAP </w:t>
            </w:r>
            <w:r w:rsidR="00E803A4" w:rsidRPr="0025585D">
              <w:rPr>
                <w:rFonts w:asciiTheme="minorHAnsi" w:hAnsiTheme="minorHAnsi"/>
                <w:sz w:val="18"/>
                <w:szCs w:val="18"/>
              </w:rPr>
              <w:t>REM</w:t>
            </w:r>
          </w:p>
        </w:tc>
        <w:tc>
          <w:tcPr>
            <w:tcW w:w="585" w:type="pct"/>
            <w:vAlign w:val="center"/>
          </w:tcPr>
          <w:p w14:paraId="17866F44" w14:textId="267A4518" w:rsidR="00E803A4" w:rsidRPr="0025585D" w:rsidRDefault="00E803A4" w:rsidP="00E803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  <w:tr w:rsidR="00E803A4" w14:paraId="405C6657" w14:textId="77777777" w:rsidTr="00920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vAlign w:val="center"/>
          </w:tcPr>
          <w:p w14:paraId="5DD697BB" w14:textId="02F77B53" w:rsidR="00E803A4" w:rsidRDefault="00E803A4" w:rsidP="004E0575">
            <w:pPr>
              <w:spacing w:after="240" w:line="264" w:lineRule="auto"/>
              <w:jc w:val="both"/>
            </w:pPr>
            <w:r w:rsidRPr="004E0575">
              <w:rPr>
                <w:rFonts w:asciiTheme="minorHAnsi" w:hAnsiTheme="minorHAnsi"/>
              </w:rPr>
              <w:t>B29</w:t>
            </w:r>
          </w:p>
        </w:tc>
        <w:tc>
          <w:tcPr>
            <w:tcW w:w="1303" w:type="pct"/>
            <w:vAlign w:val="center"/>
          </w:tcPr>
          <w:p w14:paraId="0C87B9F4" w14:textId="230C0B5E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Vývoj výše nájemného</w:t>
            </w:r>
          </w:p>
        </w:tc>
        <w:tc>
          <w:tcPr>
            <w:tcW w:w="1170" w:type="pct"/>
            <w:vAlign w:val="center"/>
          </w:tcPr>
          <w:p w14:paraId="4DF57106" w14:textId="201CD511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Vývojový graf popisující vývoj výše nájemného</w:t>
            </w:r>
          </w:p>
        </w:tc>
        <w:tc>
          <w:tcPr>
            <w:tcW w:w="773" w:type="pct"/>
            <w:vAlign w:val="center"/>
          </w:tcPr>
          <w:p w14:paraId="5BFDD389" w14:textId="0D269E55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Graf</w:t>
            </w:r>
          </w:p>
        </w:tc>
        <w:tc>
          <w:tcPr>
            <w:tcW w:w="651" w:type="pct"/>
            <w:vAlign w:val="center"/>
          </w:tcPr>
          <w:p w14:paraId="33A91F3D" w14:textId="50D8CD25" w:rsidR="00E803A4" w:rsidRPr="0025585D" w:rsidRDefault="00C9232F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 xml:space="preserve">SAP </w:t>
            </w:r>
            <w:r w:rsidR="00E803A4" w:rsidRPr="0025585D">
              <w:rPr>
                <w:rFonts w:asciiTheme="minorHAnsi" w:hAnsiTheme="minorHAnsi"/>
                <w:sz w:val="18"/>
                <w:szCs w:val="18"/>
              </w:rPr>
              <w:t>REM</w:t>
            </w:r>
          </w:p>
        </w:tc>
        <w:tc>
          <w:tcPr>
            <w:tcW w:w="585" w:type="pct"/>
            <w:vAlign w:val="center"/>
          </w:tcPr>
          <w:p w14:paraId="7A203349" w14:textId="72D62862" w:rsidR="00E803A4" w:rsidRPr="0025585D" w:rsidRDefault="00E803A4" w:rsidP="00E803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</w:tbl>
    <w:p w14:paraId="6EE89866" w14:textId="462F6E2F" w:rsidR="00E803A4" w:rsidRDefault="00E803A4" w:rsidP="00AF7329">
      <w:pPr>
        <w:jc w:val="both"/>
        <w:rPr>
          <w:sz w:val="20"/>
          <w:szCs w:val="20"/>
        </w:rPr>
      </w:pPr>
    </w:p>
    <w:p w14:paraId="17B9FCF9" w14:textId="66FEDD88" w:rsidR="004E0575" w:rsidRPr="004E0575" w:rsidRDefault="004E0575" w:rsidP="004E0575">
      <w:pPr>
        <w:jc w:val="both"/>
        <w:rPr>
          <w:b/>
          <w:sz w:val="20"/>
          <w:szCs w:val="20"/>
        </w:rPr>
      </w:pPr>
      <w:r w:rsidRPr="004E0575">
        <w:rPr>
          <w:b/>
          <w:sz w:val="20"/>
          <w:szCs w:val="20"/>
        </w:rPr>
        <w:t>Report 2B: Porovnání v rámci SŽ</w:t>
      </w:r>
    </w:p>
    <w:tbl>
      <w:tblPr>
        <w:tblStyle w:val="Tabulkaseznamu3zvraznn1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58"/>
        <w:gridCol w:w="2223"/>
        <w:gridCol w:w="1993"/>
        <w:gridCol w:w="1303"/>
        <w:gridCol w:w="1091"/>
        <w:gridCol w:w="1224"/>
      </w:tblGrid>
      <w:tr w:rsidR="004E0575" w14:paraId="0A88BB30" w14:textId="77777777" w:rsidTr="001220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18" w:type="pct"/>
            <w:vAlign w:val="center"/>
          </w:tcPr>
          <w:p w14:paraId="12469311" w14:textId="77777777" w:rsidR="004E0575" w:rsidRPr="00AD4A2A" w:rsidRDefault="004E0575" w:rsidP="0012204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ID</w:t>
            </w:r>
          </w:p>
        </w:tc>
        <w:tc>
          <w:tcPr>
            <w:tcW w:w="1303" w:type="pct"/>
            <w:vAlign w:val="center"/>
          </w:tcPr>
          <w:p w14:paraId="3884B7D0" w14:textId="77777777" w:rsidR="004E0575" w:rsidRPr="00AD4A2A" w:rsidRDefault="004E0575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Položka (název)</w:t>
            </w:r>
          </w:p>
        </w:tc>
        <w:tc>
          <w:tcPr>
            <w:tcW w:w="1170" w:type="pct"/>
          </w:tcPr>
          <w:p w14:paraId="568C68B9" w14:textId="77777777" w:rsidR="004E0575" w:rsidRDefault="004E0575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30F5F">
              <w:rPr>
                <w:rFonts w:asciiTheme="minorHAnsi" w:hAnsiTheme="minorHAnsi"/>
              </w:rPr>
              <w:t>Pop</w:t>
            </w:r>
            <w:r>
              <w:rPr>
                <w:rFonts w:asciiTheme="minorHAnsi" w:hAnsiTheme="minorHAnsi"/>
              </w:rPr>
              <w:t>is položky</w:t>
            </w:r>
          </w:p>
        </w:tc>
        <w:tc>
          <w:tcPr>
            <w:tcW w:w="773" w:type="pct"/>
          </w:tcPr>
          <w:p w14:paraId="639A69F4" w14:textId="77777777" w:rsidR="004E0575" w:rsidRPr="0025585D" w:rsidRDefault="004E0575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Formát zobrazení</w:t>
            </w:r>
          </w:p>
        </w:tc>
        <w:tc>
          <w:tcPr>
            <w:tcW w:w="651" w:type="pct"/>
          </w:tcPr>
          <w:p w14:paraId="35DFB34C" w14:textId="77777777" w:rsidR="004E0575" w:rsidRPr="0025585D" w:rsidRDefault="004E0575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Datový zdroj</w:t>
            </w:r>
          </w:p>
        </w:tc>
        <w:tc>
          <w:tcPr>
            <w:tcW w:w="585" w:type="pct"/>
          </w:tcPr>
          <w:p w14:paraId="61EE3589" w14:textId="77777777" w:rsidR="004E0575" w:rsidRPr="0025585D" w:rsidRDefault="004E0575" w:rsidP="001220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Způsob předávání dat</w:t>
            </w:r>
          </w:p>
        </w:tc>
      </w:tr>
      <w:tr w:rsidR="00BE1A35" w:rsidRPr="00D4662B" w14:paraId="576EF6B9" w14:textId="77777777" w:rsidTr="00122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8" w:type="pct"/>
            <w:vAlign w:val="center"/>
          </w:tcPr>
          <w:p w14:paraId="3A81E1ED" w14:textId="597586A3" w:rsidR="00BE1A35" w:rsidRPr="00AD4A2A" w:rsidRDefault="00BE1A35" w:rsidP="00BE1A35">
            <w:pPr>
              <w:spacing w:after="240" w:line="264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B30</w:t>
            </w:r>
          </w:p>
        </w:tc>
        <w:tc>
          <w:tcPr>
            <w:tcW w:w="1303" w:type="pct"/>
            <w:vAlign w:val="center"/>
          </w:tcPr>
          <w:p w14:paraId="23C5117F" w14:textId="23721C8B" w:rsidR="00BE1A35" w:rsidRPr="0025585D" w:rsidRDefault="00BE1A35" w:rsidP="00BE1A3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Výnosy a provozní náklady za posledních 5 let</w:t>
            </w:r>
          </w:p>
        </w:tc>
        <w:tc>
          <w:tcPr>
            <w:tcW w:w="1170" w:type="pct"/>
            <w:vAlign w:val="center"/>
          </w:tcPr>
          <w:p w14:paraId="5A3D0B27" w14:textId="6A1DED10" w:rsidR="00BE1A35" w:rsidRPr="0025585D" w:rsidRDefault="00BE1A35" w:rsidP="00BE1A35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Vývojový graf (případně sloupcový pro jednotlivé roky) vyjadřující vývoj výnosů a provozních nákladů pro byt.</w:t>
            </w:r>
          </w:p>
        </w:tc>
        <w:tc>
          <w:tcPr>
            <w:tcW w:w="773" w:type="pct"/>
            <w:vAlign w:val="center"/>
          </w:tcPr>
          <w:p w14:paraId="72E1C516" w14:textId="48AB09DE" w:rsidR="00BE1A35" w:rsidRPr="0025585D" w:rsidRDefault="00BE1A35" w:rsidP="00BE1A3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Graf</w:t>
            </w:r>
          </w:p>
        </w:tc>
        <w:tc>
          <w:tcPr>
            <w:tcW w:w="651" w:type="pct"/>
            <w:vAlign w:val="center"/>
          </w:tcPr>
          <w:p w14:paraId="5A52C8BD" w14:textId="4B7DD084" w:rsidR="00BE1A35" w:rsidRPr="0025585D" w:rsidRDefault="00BE1A35" w:rsidP="00BE1A3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SAP CO</w:t>
            </w:r>
          </w:p>
        </w:tc>
        <w:tc>
          <w:tcPr>
            <w:tcW w:w="585" w:type="pct"/>
            <w:vAlign w:val="center"/>
          </w:tcPr>
          <w:p w14:paraId="34EBDC4B" w14:textId="0F3735A1" w:rsidR="00BE1A35" w:rsidRPr="0025585D" w:rsidRDefault="00BE1A35" w:rsidP="00BE1A3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25585D">
              <w:rPr>
                <w:rFonts w:asciiTheme="minorHAnsi" w:hAnsiTheme="minorHAnsi"/>
                <w:sz w:val="18"/>
                <w:szCs w:val="18"/>
              </w:rPr>
              <w:t>On-line/1 denní zpoždění via SAP BW</w:t>
            </w:r>
          </w:p>
        </w:tc>
      </w:tr>
    </w:tbl>
    <w:p w14:paraId="24A2C8B5" w14:textId="130608A0" w:rsidR="004E0575" w:rsidRDefault="004E0575" w:rsidP="00AF7329">
      <w:pPr>
        <w:jc w:val="both"/>
        <w:rPr>
          <w:sz w:val="20"/>
          <w:szCs w:val="20"/>
        </w:rPr>
      </w:pPr>
    </w:p>
    <w:p w14:paraId="6985AF60" w14:textId="4DD7E7FE" w:rsidR="004E0575" w:rsidRDefault="004E0575" w:rsidP="00AF7329">
      <w:pPr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lastRenderedPageBreak/>
        <w:drawing>
          <wp:inline distT="0" distB="0" distL="0" distR="0" wp14:anchorId="2DE85871" wp14:editId="3F897CA1">
            <wp:extent cx="5727600" cy="3153600"/>
            <wp:effectExtent l="0" t="0" r="0" b="889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port2B.png"/>
                    <pic:cNvPicPr/>
                  </pic:nvPicPr>
                  <pic:blipFill>
                    <a:blip r:embed="rId14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600" cy="315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EBED16" w14:textId="1A324349" w:rsidR="004E0575" w:rsidRDefault="0012204C" w:rsidP="0012204C">
      <w:pPr>
        <w:jc w:val="center"/>
        <w:rPr>
          <w:sz w:val="20"/>
          <w:szCs w:val="20"/>
        </w:rPr>
      </w:pPr>
      <w:r>
        <w:rPr>
          <w:sz w:val="20"/>
          <w:szCs w:val="20"/>
        </w:rPr>
        <w:t>Obr. 4</w:t>
      </w:r>
    </w:p>
    <w:p w14:paraId="7724BF05" w14:textId="7555ABB5" w:rsidR="0009357B" w:rsidRDefault="0009357B" w:rsidP="0009357B">
      <w:pPr>
        <w:pStyle w:val="Odstavecseseznamem"/>
        <w:numPr>
          <w:ilvl w:val="0"/>
          <w:numId w:val="18"/>
        </w:numPr>
        <w:jc w:val="both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r w:rsidRPr="0009357B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Rozšíření datové základny SAP REM</w:t>
      </w:r>
    </w:p>
    <w:p w14:paraId="43549198" w14:textId="7957ED0D" w:rsidR="0009357B" w:rsidRPr="00637C9F" w:rsidRDefault="0009357B" w:rsidP="00BE1A35">
      <w:pPr>
        <w:jc w:val="both"/>
        <w:rPr>
          <w:sz w:val="20"/>
          <w:szCs w:val="20"/>
        </w:rPr>
      </w:pPr>
      <w:r w:rsidRPr="00637C9F">
        <w:rPr>
          <w:sz w:val="20"/>
          <w:szCs w:val="20"/>
        </w:rPr>
        <w:t xml:space="preserve">Součástí řešení je rozšíření datové základny SAP o položky popisující jednotlivé bytové jednotky SŽ. Tyto položky jsou aktuálně vedeny v samostatných evidencích, které nejsou součástí SAP. Po implementaci a rozšíření datové základny SAP REM se počítá s použitím této datové základny v Manažerském reportingu bytového fondu SŽ a ukončení vedení zvláštních evidencí pro tyto účely.  V případě implementace těchto datových zdrojů do SAP se počítá se změnou aktualizace těchto dat z dávkového na online </w:t>
      </w:r>
      <w:r w:rsidRPr="000D5469">
        <w:rPr>
          <w:sz w:val="20"/>
          <w:szCs w:val="20"/>
        </w:rPr>
        <w:t xml:space="preserve">režim (režim každodenních </w:t>
      </w:r>
      <w:proofErr w:type="spellStart"/>
      <w:r w:rsidRPr="000D5469">
        <w:rPr>
          <w:sz w:val="20"/>
          <w:szCs w:val="20"/>
        </w:rPr>
        <w:t>loadů</w:t>
      </w:r>
      <w:proofErr w:type="spellEnd"/>
      <w:r w:rsidRPr="000D5469">
        <w:rPr>
          <w:sz w:val="20"/>
          <w:szCs w:val="20"/>
        </w:rPr>
        <w:t>).</w:t>
      </w:r>
      <w:r w:rsidR="000D5469">
        <w:rPr>
          <w:sz w:val="20"/>
          <w:szCs w:val="20"/>
        </w:rPr>
        <w:t xml:space="preserve"> Předpokladem SŽ je implementace nových polí takovým způsobem, aby umožňoval prvotní (případně následné) hromadné nahrání dat vlastními silami SŽ.</w:t>
      </w:r>
    </w:p>
    <w:p w14:paraId="1E624585" w14:textId="77777777" w:rsidR="0009357B" w:rsidRPr="00637C9F" w:rsidRDefault="0009357B" w:rsidP="00BE1A35">
      <w:pPr>
        <w:jc w:val="both"/>
        <w:rPr>
          <w:sz w:val="20"/>
          <w:szCs w:val="20"/>
        </w:rPr>
      </w:pPr>
      <w:r w:rsidRPr="00637C9F">
        <w:rPr>
          <w:sz w:val="20"/>
          <w:szCs w:val="20"/>
        </w:rPr>
        <w:t xml:space="preserve">Cílem Správy železnic je rozšířit datovou základnu SAP o následující položky: </w:t>
      </w:r>
    </w:p>
    <w:p w14:paraId="3B11B5DD" w14:textId="77777777" w:rsidR="0009357B" w:rsidRPr="00637C9F" w:rsidRDefault="0009357B" w:rsidP="00BE1A35">
      <w:pPr>
        <w:pStyle w:val="Odstavecseseznamem"/>
        <w:numPr>
          <w:ilvl w:val="0"/>
          <w:numId w:val="25"/>
        </w:numPr>
        <w:spacing w:line="240" w:lineRule="atLeast"/>
        <w:jc w:val="both"/>
        <w:rPr>
          <w:sz w:val="20"/>
          <w:szCs w:val="20"/>
        </w:rPr>
      </w:pPr>
      <w:r w:rsidRPr="00637C9F">
        <w:rPr>
          <w:sz w:val="20"/>
          <w:szCs w:val="20"/>
        </w:rPr>
        <w:t>Dispozice – SAP bude obsahovat informace o velikosti bytové jednotky z hlediska počtu pokojů</w:t>
      </w:r>
    </w:p>
    <w:p w14:paraId="317AC21E" w14:textId="77777777" w:rsidR="0009357B" w:rsidRPr="00637C9F" w:rsidRDefault="0009357B" w:rsidP="00BE1A35">
      <w:pPr>
        <w:pStyle w:val="Odstavecseseznamem"/>
        <w:numPr>
          <w:ilvl w:val="0"/>
          <w:numId w:val="25"/>
        </w:numPr>
        <w:spacing w:line="240" w:lineRule="atLeast"/>
        <w:jc w:val="both"/>
        <w:rPr>
          <w:sz w:val="20"/>
          <w:szCs w:val="20"/>
        </w:rPr>
      </w:pPr>
      <w:r w:rsidRPr="00637C9F">
        <w:rPr>
          <w:sz w:val="20"/>
          <w:szCs w:val="20"/>
        </w:rPr>
        <w:t>Kvalita – SAP bude obsahovat informace o kvalitě dané bytové jednotky, která dle zákona může být:</w:t>
      </w:r>
    </w:p>
    <w:p w14:paraId="4D75C2C7" w14:textId="77777777" w:rsidR="0009357B" w:rsidRPr="00637C9F" w:rsidRDefault="0009357B" w:rsidP="00BE1A35">
      <w:pPr>
        <w:pStyle w:val="Odstavecseseznamem"/>
        <w:numPr>
          <w:ilvl w:val="1"/>
          <w:numId w:val="25"/>
        </w:numPr>
        <w:spacing w:line="240" w:lineRule="atLeast"/>
        <w:jc w:val="both"/>
        <w:rPr>
          <w:sz w:val="20"/>
          <w:szCs w:val="20"/>
        </w:rPr>
      </w:pPr>
      <w:r w:rsidRPr="00637C9F">
        <w:rPr>
          <w:sz w:val="20"/>
          <w:szCs w:val="20"/>
        </w:rPr>
        <w:t>Snížená</w:t>
      </w:r>
    </w:p>
    <w:p w14:paraId="39BE29E1" w14:textId="77777777" w:rsidR="0009357B" w:rsidRPr="00637C9F" w:rsidRDefault="0009357B" w:rsidP="00BE1A35">
      <w:pPr>
        <w:pStyle w:val="Odstavecseseznamem"/>
        <w:numPr>
          <w:ilvl w:val="1"/>
          <w:numId w:val="25"/>
        </w:numPr>
        <w:spacing w:line="240" w:lineRule="atLeast"/>
        <w:jc w:val="both"/>
        <w:rPr>
          <w:sz w:val="20"/>
          <w:szCs w:val="20"/>
        </w:rPr>
      </w:pPr>
      <w:r w:rsidRPr="00637C9F">
        <w:rPr>
          <w:sz w:val="20"/>
          <w:szCs w:val="20"/>
        </w:rPr>
        <w:t xml:space="preserve">Nesnížená </w:t>
      </w:r>
    </w:p>
    <w:p w14:paraId="4F59718E" w14:textId="6802EC87" w:rsidR="0009357B" w:rsidRPr="00637C9F" w:rsidRDefault="0009357B" w:rsidP="00BE1A35">
      <w:pPr>
        <w:pStyle w:val="Odstavecseseznamem"/>
        <w:numPr>
          <w:ilvl w:val="0"/>
          <w:numId w:val="25"/>
        </w:numPr>
        <w:spacing w:line="240" w:lineRule="atLeast"/>
        <w:jc w:val="both"/>
        <w:rPr>
          <w:sz w:val="20"/>
          <w:szCs w:val="20"/>
        </w:rPr>
      </w:pPr>
      <w:r w:rsidRPr="00637C9F">
        <w:rPr>
          <w:sz w:val="20"/>
          <w:szCs w:val="20"/>
        </w:rPr>
        <w:t>Záměr – SAP b</w:t>
      </w:r>
      <w:r w:rsidR="00C35625">
        <w:rPr>
          <w:sz w:val="20"/>
          <w:szCs w:val="20"/>
        </w:rPr>
        <w:t xml:space="preserve">ude obsahovat informace o záměr, </w:t>
      </w:r>
      <w:r w:rsidRPr="00637C9F">
        <w:rPr>
          <w:sz w:val="20"/>
          <w:szCs w:val="20"/>
        </w:rPr>
        <w:t xml:space="preserve">který je s daným bytem ve výhledu následujících 5 let. Pro úvodní nastavení se počítá s následujícím možnostmi: </w:t>
      </w:r>
    </w:p>
    <w:p w14:paraId="3566461A" w14:textId="77777777" w:rsidR="0009357B" w:rsidRPr="00637C9F" w:rsidRDefault="0009357B" w:rsidP="00BE1A35">
      <w:pPr>
        <w:pStyle w:val="Odstavecseseznamem"/>
        <w:numPr>
          <w:ilvl w:val="1"/>
          <w:numId w:val="25"/>
        </w:numPr>
        <w:spacing w:line="240" w:lineRule="atLeast"/>
        <w:jc w:val="both"/>
        <w:rPr>
          <w:sz w:val="20"/>
          <w:szCs w:val="20"/>
        </w:rPr>
      </w:pPr>
      <w:r w:rsidRPr="00637C9F">
        <w:rPr>
          <w:sz w:val="20"/>
          <w:szCs w:val="20"/>
        </w:rPr>
        <w:t>Oprava/rekonstrukce</w:t>
      </w:r>
    </w:p>
    <w:p w14:paraId="2F9C3467" w14:textId="77777777" w:rsidR="0009357B" w:rsidRPr="00637C9F" w:rsidRDefault="0009357B" w:rsidP="00BE1A35">
      <w:pPr>
        <w:pStyle w:val="Odstavecseseznamem"/>
        <w:numPr>
          <w:ilvl w:val="1"/>
          <w:numId w:val="25"/>
        </w:numPr>
        <w:spacing w:line="240" w:lineRule="atLeast"/>
        <w:jc w:val="both"/>
        <w:rPr>
          <w:sz w:val="20"/>
          <w:szCs w:val="20"/>
        </w:rPr>
      </w:pPr>
      <w:r w:rsidRPr="00637C9F">
        <w:rPr>
          <w:sz w:val="20"/>
          <w:szCs w:val="20"/>
        </w:rPr>
        <w:t>K obsazení</w:t>
      </w:r>
    </w:p>
    <w:p w14:paraId="16932EE9" w14:textId="77777777" w:rsidR="0009357B" w:rsidRPr="00637C9F" w:rsidRDefault="0009357B" w:rsidP="00BE1A35">
      <w:pPr>
        <w:pStyle w:val="Odstavecseseznamem"/>
        <w:numPr>
          <w:ilvl w:val="1"/>
          <w:numId w:val="25"/>
        </w:numPr>
        <w:spacing w:line="240" w:lineRule="atLeast"/>
        <w:jc w:val="both"/>
        <w:rPr>
          <w:sz w:val="20"/>
          <w:szCs w:val="20"/>
        </w:rPr>
      </w:pPr>
      <w:r w:rsidRPr="00637C9F">
        <w:rPr>
          <w:sz w:val="20"/>
          <w:szCs w:val="20"/>
        </w:rPr>
        <w:t xml:space="preserve">Změna účelu využití </w:t>
      </w:r>
    </w:p>
    <w:p w14:paraId="277B4BCE" w14:textId="77777777" w:rsidR="0009357B" w:rsidRPr="00637C9F" w:rsidRDefault="0009357B" w:rsidP="00BE1A35">
      <w:pPr>
        <w:pStyle w:val="Odstavecseseznamem"/>
        <w:numPr>
          <w:ilvl w:val="1"/>
          <w:numId w:val="25"/>
        </w:numPr>
        <w:spacing w:line="240" w:lineRule="atLeast"/>
        <w:jc w:val="both"/>
        <w:rPr>
          <w:sz w:val="20"/>
          <w:szCs w:val="20"/>
        </w:rPr>
      </w:pPr>
      <w:r w:rsidRPr="00637C9F">
        <w:rPr>
          <w:sz w:val="20"/>
          <w:szCs w:val="20"/>
        </w:rPr>
        <w:t>Prodej</w:t>
      </w:r>
    </w:p>
    <w:p w14:paraId="4017E94A" w14:textId="77777777" w:rsidR="0009357B" w:rsidRPr="00637C9F" w:rsidRDefault="0009357B" w:rsidP="00BE1A35">
      <w:pPr>
        <w:pStyle w:val="Odstavecseseznamem"/>
        <w:numPr>
          <w:ilvl w:val="1"/>
          <w:numId w:val="25"/>
        </w:numPr>
        <w:spacing w:line="240" w:lineRule="atLeast"/>
        <w:jc w:val="both"/>
        <w:rPr>
          <w:sz w:val="20"/>
          <w:szCs w:val="20"/>
        </w:rPr>
      </w:pPr>
      <w:r w:rsidRPr="00637C9F">
        <w:rPr>
          <w:sz w:val="20"/>
          <w:szCs w:val="20"/>
        </w:rPr>
        <w:t>Demolice</w:t>
      </w:r>
    </w:p>
    <w:p w14:paraId="705D9259" w14:textId="77777777" w:rsidR="0009357B" w:rsidRPr="00637C9F" w:rsidRDefault="0009357B" w:rsidP="00BE1A35">
      <w:pPr>
        <w:pStyle w:val="Odstavecseseznamem"/>
        <w:numPr>
          <w:ilvl w:val="1"/>
          <w:numId w:val="25"/>
        </w:numPr>
        <w:spacing w:line="240" w:lineRule="atLeast"/>
        <w:jc w:val="both"/>
        <w:rPr>
          <w:sz w:val="20"/>
          <w:szCs w:val="20"/>
        </w:rPr>
      </w:pPr>
      <w:r w:rsidRPr="00637C9F">
        <w:rPr>
          <w:sz w:val="20"/>
          <w:szCs w:val="20"/>
        </w:rPr>
        <w:t>Běžná údržba</w:t>
      </w:r>
    </w:p>
    <w:p w14:paraId="50C451B3" w14:textId="77777777" w:rsidR="0009357B" w:rsidRPr="00637C9F" w:rsidRDefault="0009357B" w:rsidP="00BE1A35">
      <w:pPr>
        <w:pStyle w:val="Odstavecseseznamem"/>
        <w:numPr>
          <w:ilvl w:val="1"/>
          <w:numId w:val="25"/>
        </w:numPr>
        <w:spacing w:line="240" w:lineRule="atLeast"/>
        <w:jc w:val="both"/>
        <w:rPr>
          <w:sz w:val="20"/>
          <w:szCs w:val="20"/>
        </w:rPr>
      </w:pPr>
      <w:r w:rsidRPr="00637C9F">
        <w:rPr>
          <w:sz w:val="20"/>
          <w:szCs w:val="20"/>
        </w:rPr>
        <w:t>Jiné</w:t>
      </w:r>
    </w:p>
    <w:p w14:paraId="167F1320" w14:textId="77777777" w:rsidR="0009357B" w:rsidRPr="00637C9F" w:rsidRDefault="0009357B" w:rsidP="00BE1A35">
      <w:pPr>
        <w:pStyle w:val="Odstavecseseznamem"/>
        <w:numPr>
          <w:ilvl w:val="0"/>
          <w:numId w:val="25"/>
        </w:numPr>
        <w:spacing w:line="240" w:lineRule="atLeast"/>
        <w:jc w:val="both"/>
        <w:rPr>
          <w:sz w:val="20"/>
          <w:szCs w:val="20"/>
        </w:rPr>
      </w:pPr>
      <w:r w:rsidRPr="00637C9F">
        <w:rPr>
          <w:sz w:val="20"/>
          <w:szCs w:val="20"/>
        </w:rPr>
        <w:t>Navýšení – Položka bude obsahovat důvod navýšení nájmu. Pro úvodní nastavení se počítá s následujícím možnostmi:</w:t>
      </w:r>
    </w:p>
    <w:p w14:paraId="240D76F6" w14:textId="77777777" w:rsidR="0009357B" w:rsidRPr="00637C9F" w:rsidRDefault="0009357B" w:rsidP="00BE1A35">
      <w:pPr>
        <w:pStyle w:val="Odstavecseseznamem"/>
        <w:numPr>
          <w:ilvl w:val="1"/>
          <w:numId w:val="25"/>
        </w:numPr>
        <w:spacing w:line="240" w:lineRule="atLeast"/>
        <w:jc w:val="both"/>
        <w:rPr>
          <w:sz w:val="20"/>
          <w:szCs w:val="20"/>
        </w:rPr>
      </w:pPr>
      <w:r w:rsidRPr="00637C9F">
        <w:rPr>
          <w:sz w:val="20"/>
          <w:szCs w:val="20"/>
        </w:rPr>
        <w:t>Inflační doložka</w:t>
      </w:r>
    </w:p>
    <w:p w14:paraId="33998805" w14:textId="77777777" w:rsidR="0009357B" w:rsidRPr="00637C9F" w:rsidRDefault="0009357B" w:rsidP="00BE1A35">
      <w:pPr>
        <w:pStyle w:val="Odstavecseseznamem"/>
        <w:numPr>
          <w:ilvl w:val="1"/>
          <w:numId w:val="25"/>
        </w:numPr>
        <w:spacing w:line="240" w:lineRule="atLeast"/>
        <w:jc w:val="both"/>
        <w:rPr>
          <w:sz w:val="20"/>
          <w:szCs w:val="20"/>
        </w:rPr>
      </w:pPr>
      <w:r w:rsidRPr="00637C9F">
        <w:rPr>
          <w:sz w:val="20"/>
          <w:szCs w:val="20"/>
        </w:rPr>
        <w:lastRenderedPageBreak/>
        <w:t xml:space="preserve">Změna ceny obvyklé </w:t>
      </w:r>
    </w:p>
    <w:p w14:paraId="2403FAB0" w14:textId="77777777" w:rsidR="0009357B" w:rsidRPr="00637C9F" w:rsidRDefault="0009357B" w:rsidP="00BE1A35">
      <w:pPr>
        <w:pStyle w:val="Odstavecseseznamem"/>
        <w:numPr>
          <w:ilvl w:val="1"/>
          <w:numId w:val="25"/>
        </w:numPr>
        <w:spacing w:line="240" w:lineRule="atLeast"/>
        <w:jc w:val="both"/>
        <w:rPr>
          <w:sz w:val="20"/>
          <w:szCs w:val="20"/>
        </w:rPr>
      </w:pPr>
      <w:r w:rsidRPr="00637C9F">
        <w:rPr>
          <w:sz w:val="20"/>
          <w:szCs w:val="20"/>
        </w:rPr>
        <w:t>Změna rozsahu předmětu nájmu</w:t>
      </w:r>
    </w:p>
    <w:p w14:paraId="47B507BB" w14:textId="77777777" w:rsidR="0009357B" w:rsidRPr="00637C9F" w:rsidRDefault="0009357B" w:rsidP="00BE1A35">
      <w:pPr>
        <w:pStyle w:val="Odstavecseseznamem"/>
        <w:numPr>
          <w:ilvl w:val="1"/>
          <w:numId w:val="25"/>
        </w:numPr>
        <w:spacing w:line="240" w:lineRule="atLeast"/>
        <w:jc w:val="both"/>
        <w:rPr>
          <w:sz w:val="20"/>
          <w:szCs w:val="20"/>
        </w:rPr>
      </w:pPr>
      <w:r w:rsidRPr="00637C9F">
        <w:rPr>
          <w:sz w:val="20"/>
          <w:szCs w:val="20"/>
        </w:rPr>
        <w:t>Jiné</w:t>
      </w:r>
    </w:p>
    <w:p w14:paraId="06F669F4" w14:textId="402E480E" w:rsidR="0009357B" w:rsidRDefault="0009357B" w:rsidP="00BE1A35">
      <w:pPr>
        <w:pStyle w:val="Odstavecseseznamem"/>
        <w:numPr>
          <w:ilvl w:val="0"/>
          <w:numId w:val="25"/>
        </w:numPr>
        <w:spacing w:line="240" w:lineRule="atLeast"/>
        <w:jc w:val="both"/>
        <w:rPr>
          <w:sz w:val="20"/>
          <w:szCs w:val="20"/>
        </w:rPr>
      </w:pPr>
      <w:r w:rsidRPr="00637C9F">
        <w:rPr>
          <w:sz w:val="20"/>
          <w:szCs w:val="20"/>
        </w:rPr>
        <w:t xml:space="preserve">Rekonstrukce – Pro bytové jednotky bude umožněno doplnit informaci o proběhlé rekonstrukci včetně roku dokončení rekonstrukce a uvedení hodnoty rekonstrukce stavební úpravy. </w:t>
      </w:r>
    </w:p>
    <w:p w14:paraId="4A8F18C0" w14:textId="05403822" w:rsidR="00B32FCD" w:rsidRPr="00B32FCD" w:rsidRDefault="00B32FCD" w:rsidP="00B32FCD">
      <w:pPr>
        <w:spacing w:line="240" w:lineRule="atLeas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Detailní popis požadovaných úprav – viz Příloha</w:t>
      </w:r>
      <w:r w:rsidR="0045602E">
        <w:rPr>
          <w:sz w:val="20"/>
          <w:szCs w:val="20"/>
        </w:rPr>
        <w:t xml:space="preserve"> č. 7 Smlouvy – Návrh položek na rozšíření SAP (bytový fond)</w:t>
      </w:r>
    </w:p>
    <w:p w14:paraId="45BE48D8" w14:textId="67867D04" w:rsidR="00637C9F" w:rsidRDefault="00637C9F" w:rsidP="00637C9F">
      <w:pPr>
        <w:pStyle w:val="Odstavecseseznamem"/>
        <w:spacing w:line="240" w:lineRule="atLeast"/>
        <w:jc w:val="both"/>
        <w:rPr>
          <w:sz w:val="20"/>
          <w:szCs w:val="20"/>
        </w:rPr>
      </w:pPr>
    </w:p>
    <w:p w14:paraId="2D76E729" w14:textId="77777777" w:rsidR="00B32FCD" w:rsidRPr="00637C9F" w:rsidRDefault="00B32FCD" w:rsidP="00637C9F">
      <w:pPr>
        <w:pStyle w:val="Odstavecseseznamem"/>
        <w:spacing w:line="240" w:lineRule="atLeast"/>
        <w:jc w:val="both"/>
        <w:rPr>
          <w:sz w:val="20"/>
          <w:szCs w:val="20"/>
        </w:rPr>
      </w:pPr>
    </w:p>
    <w:p w14:paraId="63962F0F" w14:textId="21A6193B" w:rsidR="00637C9F" w:rsidRPr="00B32FCD" w:rsidRDefault="00637C9F" w:rsidP="0009357B">
      <w:pPr>
        <w:jc w:val="both"/>
        <w:rPr>
          <w:rFonts w:asciiTheme="majorHAnsi" w:eastAsiaTheme="majorEastAsia" w:hAnsiTheme="majorHAnsi" w:cstheme="majorBidi"/>
          <w:color w:val="00A1E0" w:themeColor="accent3"/>
          <w:sz w:val="24"/>
          <w:szCs w:val="24"/>
        </w:rPr>
      </w:pPr>
    </w:p>
    <w:sectPr w:rsidR="00637C9F" w:rsidRPr="00B32FCD" w:rsidSect="00637396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57FA4D" w16cid:durableId="26E54B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CB717" w14:textId="77777777" w:rsidR="007F318C" w:rsidRDefault="007F318C" w:rsidP="00962258">
      <w:pPr>
        <w:spacing w:after="0" w:line="240" w:lineRule="auto"/>
      </w:pPr>
      <w:r>
        <w:separator/>
      </w:r>
    </w:p>
  </w:endnote>
  <w:endnote w:type="continuationSeparator" w:id="0">
    <w:p w14:paraId="07328A2C" w14:textId="77777777" w:rsidR="007F318C" w:rsidRDefault="007F318C" w:rsidP="00962258">
      <w:pPr>
        <w:spacing w:after="0" w:line="240" w:lineRule="auto"/>
      </w:pPr>
      <w:r>
        <w:continuationSeparator/>
      </w:r>
    </w:p>
  </w:endnote>
  <w:endnote w:type="continuationNotice" w:id="1">
    <w:p w14:paraId="3C93855D" w14:textId="77777777" w:rsidR="007F318C" w:rsidRDefault="007F31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33FB6" w14:paraId="5B32790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5FE0F1" w14:textId="1ED8183E" w:rsidR="00B33FB6" w:rsidRPr="00B8518B" w:rsidRDefault="00B33FB6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1063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1063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45549E" w14:textId="77777777" w:rsidR="00B33FB6" w:rsidRDefault="00B33FB6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CC0DC9" w14:textId="77777777" w:rsidR="00B33FB6" w:rsidRDefault="00B33FB6" w:rsidP="00B8518B">
          <w:pPr>
            <w:pStyle w:val="Zpat"/>
          </w:pPr>
        </w:p>
      </w:tc>
      <w:tc>
        <w:tcPr>
          <w:tcW w:w="2921" w:type="dxa"/>
        </w:tcPr>
        <w:p w14:paraId="5739B06F" w14:textId="77777777" w:rsidR="00B33FB6" w:rsidRDefault="00B33FB6" w:rsidP="00D831A3">
          <w:pPr>
            <w:pStyle w:val="Zpat"/>
          </w:pPr>
        </w:p>
      </w:tc>
    </w:tr>
  </w:tbl>
  <w:p w14:paraId="3A5AC2B0" w14:textId="77777777" w:rsidR="00B33FB6" w:rsidRPr="00B8518B" w:rsidRDefault="00B33FB6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1A0F9265" wp14:editId="626FFD3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F976CA3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7D52F11C" wp14:editId="71F8CB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7440CA0" id="Straight Connector 2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33FB6" w14:paraId="7937991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9CD6E84" w14:textId="65F8BEDD" w:rsidR="00B33FB6" w:rsidRPr="00B8518B" w:rsidRDefault="00B33FB6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106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1063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157F98" w14:textId="77777777" w:rsidR="00B33FB6" w:rsidRDefault="00B33FB6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CCA231" w14:textId="77777777" w:rsidR="00B33FB6" w:rsidRDefault="00B33FB6" w:rsidP="00460660">
          <w:pPr>
            <w:pStyle w:val="Zpat"/>
          </w:pPr>
        </w:p>
      </w:tc>
      <w:tc>
        <w:tcPr>
          <w:tcW w:w="2921" w:type="dxa"/>
        </w:tcPr>
        <w:p w14:paraId="1D76FF94" w14:textId="77777777" w:rsidR="00B33FB6" w:rsidRDefault="00B33FB6" w:rsidP="00460660">
          <w:pPr>
            <w:pStyle w:val="Zpat"/>
          </w:pPr>
        </w:p>
      </w:tc>
    </w:tr>
  </w:tbl>
  <w:p w14:paraId="64F82C3E" w14:textId="77777777" w:rsidR="00B33FB6" w:rsidRPr="00B8518B" w:rsidRDefault="00B33FB6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90EC25A" wp14:editId="6642B2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D3D1C57" id="Straight Connector 7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7C07D90" wp14:editId="1E9DBB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7ADCC5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FC62529" w14:textId="77777777" w:rsidR="00B33FB6" w:rsidRPr="00460660" w:rsidRDefault="00B33FB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4FF91" w14:textId="77777777" w:rsidR="007F318C" w:rsidRDefault="007F318C" w:rsidP="00962258">
      <w:pPr>
        <w:spacing w:after="0" w:line="240" w:lineRule="auto"/>
      </w:pPr>
      <w:r>
        <w:separator/>
      </w:r>
    </w:p>
  </w:footnote>
  <w:footnote w:type="continuationSeparator" w:id="0">
    <w:p w14:paraId="2C937148" w14:textId="77777777" w:rsidR="007F318C" w:rsidRDefault="007F318C" w:rsidP="00962258">
      <w:pPr>
        <w:spacing w:after="0" w:line="240" w:lineRule="auto"/>
      </w:pPr>
      <w:r>
        <w:continuationSeparator/>
      </w:r>
    </w:p>
  </w:footnote>
  <w:footnote w:type="continuationNotice" w:id="1">
    <w:p w14:paraId="1A8B8215" w14:textId="77777777" w:rsidR="007F318C" w:rsidRDefault="007F31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33FB6" w14:paraId="20B1683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B6DB9D0" w14:textId="77777777" w:rsidR="00B33FB6" w:rsidRPr="00B8518B" w:rsidRDefault="00B33FB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7E4DF6" w14:textId="77777777" w:rsidR="00B33FB6" w:rsidRDefault="00B33FB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7819156" w14:textId="77777777" w:rsidR="00B33FB6" w:rsidRPr="00D6163D" w:rsidRDefault="00B33FB6" w:rsidP="00D6163D">
          <w:pPr>
            <w:pStyle w:val="Druhdokumentu"/>
          </w:pPr>
        </w:p>
      </w:tc>
    </w:tr>
  </w:tbl>
  <w:p w14:paraId="50F79C88" w14:textId="77777777" w:rsidR="00B33FB6" w:rsidRPr="00D6163D" w:rsidRDefault="00B33FB6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4720F" w14:textId="1E754B3F" w:rsidR="00A53FB6" w:rsidRDefault="00A53FB6">
    <w:r>
      <w:rPr>
        <w:noProof/>
        <w:lang w:eastAsia="cs-CZ"/>
      </w:rPr>
      <w:drawing>
        <wp:anchor distT="0" distB="0" distL="114300" distR="114300" simplePos="0" relativeHeight="251660800" behindDoc="0" locked="1" layoutInCell="1" allowOverlap="1" wp14:anchorId="14D468E9" wp14:editId="1F1CB74F">
          <wp:simplePos x="0" y="0"/>
          <wp:positionH relativeFrom="page">
            <wp:posOffset>933450</wp:posOffset>
          </wp:positionH>
          <wp:positionV relativeFrom="page">
            <wp:posOffset>386715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33FB6" w14:paraId="6764D2E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8E0B4C" w14:textId="77777777" w:rsidR="00B33FB6" w:rsidRPr="00B8518B" w:rsidRDefault="00B33FB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543674" w14:textId="77777777" w:rsidR="00B33FB6" w:rsidRDefault="00B33FB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B9E3CC" w14:textId="77777777" w:rsidR="00B33FB6" w:rsidRPr="00D6163D" w:rsidRDefault="00B33FB6" w:rsidP="00FC6389">
          <w:pPr>
            <w:pStyle w:val="Druhdokumentu"/>
          </w:pPr>
        </w:p>
      </w:tc>
    </w:tr>
    <w:tr w:rsidR="00B33FB6" w14:paraId="366D531F" w14:textId="77777777" w:rsidTr="00B3376E">
      <w:trPr>
        <w:trHeight w:hRule="exact" w:val="102"/>
      </w:trPr>
      <w:tc>
        <w:tcPr>
          <w:tcW w:w="1361" w:type="dxa"/>
          <w:tcMar>
            <w:left w:w="0" w:type="dxa"/>
            <w:right w:w="0" w:type="dxa"/>
          </w:tcMar>
        </w:tcPr>
        <w:p w14:paraId="21FC31A1" w14:textId="77777777" w:rsidR="00B33FB6" w:rsidRPr="00B8518B" w:rsidRDefault="00B33FB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08A010" w14:textId="77777777" w:rsidR="00B33FB6" w:rsidRDefault="00B33FB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CF176F4" w14:textId="77777777" w:rsidR="00B33FB6" w:rsidRPr="00D6163D" w:rsidRDefault="00B33FB6" w:rsidP="00FC6389">
          <w:pPr>
            <w:pStyle w:val="Druhdokumentu"/>
          </w:pPr>
        </w:p>
      </w:tc>
    </w:tr>
  </w:tbl>
  <w:p w14:paraId="1B1A95FE" w14:textId="3F479C2F" w:rsidR="00B33FB6" w:rsidRPr="00D6163D" w:rsidRDefault="00B33FB6" w:rsidP="00FC6389">
    <w:pPr>
      <w:pStyle w:val="Zhlav"/>
      <w:rPr>
        <w:sz w:val="8"/>
        <w:szCs w:val="8"/>
      </w:rPr>
    </w:pPr>
  </w:p>
  <w:p w14:paraId="65F900EC" w14:textId="77777777" w:rsidR="00B33FB6" w:rsidRPr="00460660" w:rsidRDefault="00B33FB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716B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B3196C"/>
    <w:multiLevelType w:val="hybridMultilevel"/>
    <w:tmpl w:val="0960E3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D9A77B8"/>
    <w:multiLevelType w:val="hybridMultilevel"/>
    <w:tmpl w:val="C422FB9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214E3"/>
    <w:multiLevelType w:val="hybridMultilevel"/>
    <w:tmpl w:val="FB4AE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00E70"/>
    <w:multiLevelType w:val="hybridMultilevel"/>
    <w:tmpl w:val="090C5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535BE"/>
    <w:multiLevelType w:val="hybridMultilevel"/>
    <w:tmpl w:val="CE4A6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0341CB8"/>
    <w:multiLevelType w:val="hybridMultilevel"/>
    <w:tmpl w:val="B9463A2A"/>
    <w:lvl w:ilvl="0" w:tplc="C856432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F6514"/>
    <w:multiLevelType w:val="hybridMultilevel"/>
    <w:tmpl w:val="DDF482D4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>
      <w:start w:val="1"/>
      <w:numFmt w:val="lowerLetter"/>
      <w:lvlText w:val="%2."/>
      <w:lvlJc w:val="left"/>
      <w:pPr>
        <w:ind w:left="1363" w:hanging="360"/>
      </w:pPr>
    </w:lvl>
    <w:lvl w:ilvl="2" w:tplc="0405001B">
      <w:start w:val="1"/>
      <w:numFmt w:val="lowerRoman"/>
      <w:lvlText w:val="%3."/>
      <w:lvlJc w:val="right"/>
      <w:pPr>
        <w:ind w:left="2083" w:hanging="180"/>
      </w:pPr>
    </w:lvl>
    <w:lvl w:ilvl="3" w:tplc="04050003">
      <w:start w:val="1"/>
      <w:numFmt w:val="bullet"/>
      <w:lvlText w:val="o"/>
      <w:lvlJc w:val="left"/>
      <w:pPr>
        <w:ind w:left="2803" w:hanging="360"/>
      </w:pPr>
      <w:rPr>
        <w:rFonts w:ascii="Courier New" w:hAnsi="Courier New" w:cs="Courier New" w:hint="default"/>
      </w:r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2404703F"/>
    <w:multiLevelType w:val="hybridMultilevel"/>
    <w:tmpl w:val="07FCAF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0D6961"/>
    <w:multiLevelType w:val="hybridMultilevel"/>
    <w:tmpl w:val="891A52A2"/>
    <w:lvl w:ilvl="0" w:tplc="BAC0F952">
      <w:start w:val="2"/>
      <w:numFmt w:val="bullet"/>
      <w:lvlText w:val="-"/>
      <w:lvlJc w:val="left"/>
      <w:pPr>
        <w:ind w:left="720" w:hanging="360"/>
      </w:pPr>
      <w:rPr>
        <w:rFonts w:ascii="Verdana" w:eastAsia="Calibri Light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165F1"/>
    <w:multiLevelType w:val="hybridMultilevel"/>
    <w:tmpl w:val="C1D806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42D2F"/>
    <w:multiLevelType w:val="hybridMultilevel"/>
    <w:tmpl w:val="E064DC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0D33BB"/>
    <w:multiLevelType w:val="hybridMultilevel"/>
    <w:tmpl w:val="376ECA4C"/>
    <w:lvl w:ilvl="0" w:tplc="0405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6" w15:restartNumberingAfterBreak="0">
    <w:nsid w:val="304217B8"/>
    <w:multiLevelType w:val="hybridMultilevel"/>
    <w:tmpl w:val="B3D697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2A1BFC"/>
    <w:multiLevelType w:val="hybridMultilevel"/>
    <w:tmpl w:val="952097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F3308"/>
    <w:multiLevelType w:val="hybridMultilevel"/>
    <w:tmpl w:val="DA8A8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E358C2"/>
    <w:multiLevelType w:val="hybridMultilevel"/>
    <w:tmpl w:val="A712FA5E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D178D5"/>
    <w:multiLevelType w:val="hybridMultilevel"/>
    <w:tmpl w:val="EC621BDA"/>
    <w:lvl w:ilvl="0" w:tplc="D0F842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148D9"/>
    <w:multiLevelType w:val="multilevel"/>
    <w:tmpl w:val="43E28B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5B121B7B"/>
    <w:multiLevelType w:val="hybridMultilevel"/>
    <w:tmpl w:val="D5E8C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B92325"/>
    <w:multiLevelType w:val="hybridMultilevel"/>
    <w:tmpl w:val="E582295A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083" w:hanging="180"/>
      </w:pPr>
    </w:lvl>
    <w:lvl w:ilvl="3" w:tplc="0405000F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C261CE5"/>
    <w:multiLevelType w:val="multilevel"/>
    <w:tmpl w:val="43E28B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7EA133DF"/>
    <w:multiLevelType w:val="hybridMultilevel"/>
    <w:tmpl w:val="D7F46354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>
      <w:start w:val="1"/>
      <w:numFmt w:val="lowerLetter"/>
      <w:lvlText w:val="%2."/>
      <w:lvlJc w:val="left"/>
      <w:pPr>
        <w:ind w:left="1363" w:hanging="360"/>
      </w:pPr>
    </w:lvl>
    <w:lvl w:ilvl="2" w:tplc="0405001B">
      <w:start w:val="1"/>
      <w:numFmt w:val="lowerRoman"/>
      <w:lvlText w:val="%3."/>
      <w:lvlJc w:val="right"/>
      <w:pPr>
        <w:ind w:left="2083" w:hanging="180"/>
      </w:pPr>
    </w:lvl>
    <w:lvl w:ilvl="3" w:tplc="0405000F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24"/>
  </w:num>
  <w:num w:numId="5">
    <w:abstractNumId w:val="5"/>
  </w:num>
  <w:num w:numId="6">
    <w:abstractNumId w:val="10"/>
  </w:num>
  <w:num w:numId="7">
    <w:abstractNumId w:val="15"/>
  </w:num>
  <w:num w:numId="8">
    <w:abstractNumId w:val="26"/>
  </w:num>
  <w:num w:numId="9">
    <w:abstractNumId w:val="12"/>
  </w:num>
  <w:num w:numId="10">
    <w:abstractNumId w:val="16"/>
  </w:num>
  <w:num w:numId="11">
    <w:abstractNumId w:val="17"/>
  </w:num>
  <w:num w:numId="12">
    <w:abstractNumId w:val="19"/>
  </w:num>
  <w:num w:numId="13">
    <w:abstractNumId w:val="13"/>
  </w:num>
  <w:num w:numId="14">
    <w:abstractNumId w:val="22"/>
  </w:num>
  <w:num w:numId="15">
    <w:abstractNumId w:val="23"/>
  </w:num>
  <w:num w:numId="16">
    <w:abstractNumId w:val="9"/>
  </w:num>
  <w:num w:numId="17">
    <w:abstractNumId w:val="8"/>
  </w:num>
  <w:num w:numId="18">
    <w:abstractNumId w:val="25"/>
  </w:num>
  <w:num w:numId="19">
    <w:abstractNumId w:val="11"/>
  </w:num>
  <w:num w:numId="20">
    <w:abstractNumId w:val="3"/>
  </w:num>
  <w:num w:numId="21">
    <w:abstractNumId w:val="18"/>
  </w:num>
  <w:num w:numId="22">
    <w:abstractNumId w:val="20"/>
  </w:num>
  <w:num w:numId="23">
    <w:abstractNumId w:val="21"/>
  </w:num>
  <w:num w:numId="24">
    <w:abstractNumId w:val="0"/>
  </w:num>
  <w:num w:numId="25">
    <w:abstractNumId w:val="1"/>
  </w:num>
  <w:num w:numId="26">
    <w:abstractNumId w:val="6"/>
  </w:num>
  <w:num w:numId="27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5F1"/>
    <w:rsid w:val="000012BE"/>
    <w:rsid w:val="000034E5"/>
    <w:rsid w:val="00003595"/>
    <w:rsid w:val="000053D2"/>
    <w:rsid w:val="00006483"/>
    <w:rsid w:val="00011B59"/>
    <w:rsid w:val="0001384A"/>
    <w:rsid w:val="0001585C"/>
    <w:rsid w:val="00027CA7"/>
    <w:rsid w:val="00034EBD"/>
    <w:rsid w:val="00035577"/>
    <w:rsid w:val="00036211"/>
    <w:rsid w:val="00040D2C"/>
    <w:rsid w:val="0004107D"/>
    <w:rsid w:val="000442BE"/>
    <w:rsid w:val="0004454F"/>
    <w:rsid w:val="000454AC"/>
    <w:rsid w:val="00052C14"/>
    <w:rsid w:val="00054802"/>
    <w:rsid w:val="00056EFD"/>
    <w:rsid w:val="00063D64"/>
    <w:rsid w:val="0007185F"/>
    <w:rsid w:val="000723A0"/>
    <w:rsid w:val="000726BA"/>
    <w:rsid w:val="00072C1E"/>
    <w:rsid w:val="000733BF"/>
    <w:rsid w:val="000751FE"/>
    <w:rsid w:val="000804C4"/>
    <w:rsid w:val="0008073C"/>
    <w:rsid w:val="00081283"/>
    <w:rsid w:val="000816A3"/>
    <w:rsid w:val="00083264"/>
    <w:rsid w:val="00084B1E"/>
    <w:rsid w:val="00090E87"/>
    <w:rsid w:val="0009357B"/>
    <w:rsid w:val="000943EB"/>
    <w:rsid w:val="000A168C"/>
    <w:rsid w:val="000A192C"/>
    <w:rsid w:val="000A1A85"/>
    <w:rsid w:val="000A2D32"/>
    <w:rsid w:val="000A53BB"/>
    <w:rsid w:val="000A68ED"/>
    <w:rsid w:val="000B1D38"/>
    <w:rsid w:val="000B4756"/>
    <w:rsid w:val="000B5BFE"/>
    <w:rsid w:val="000B66E2"/>
    <w:rsid w:val="000B72EA"/>
    <w:rsid w:val="000D4847"/>
    <w:rsid w:val="000D5469"/>
    <w:rsid w:val="000E23A7"/>
    <w:rsid w:val="000E4DFE"/>
    <w:rsid w:val="000F2020"/>
    <w:rsid w:val="000F2F8A"/>
    <w:rsid w:val="000F5A75"/>
    <w:rsid w:val="0010693F"/>
    <w:rsid w:val="00110E1B"/>
    <w:rsid w:val="00112661"/>
    <w:rsid w:val="00114472"/>
    <w:rsid w:val="001161A0"/>
    <w:rsid w:val="0011662C"/>
    <w:rsid w:val="001217C3"/>
    <w:rsid w:val="0012204C"/>
    <w:rsid w:val="00122818"/>
    <w:rsid w:val="0012303A"/>
    <w:rsid w:val="001252C4"/>
    <w:rsid w:val="00125AA3"/>
    <w:rsid w:val="00127DA6"/>
    <w:rsid w:val="00136749"/>
    <w:rsid w:val="00136D57"/>
    <w:rsid w:val="00141958"/>
    <w:rsid w:val="00142554"/>
    <w:rsid w:val="00142F2A"/>
    <w:rsid w:val="00143747"/>
    <w:rsid w:val="00151AB1"/>
    <w:rsid w:val="001550BC"/>
    <w:rsid w:val="00155118"/>
    <w:rsid w:val="00157D73"/>
    <w:rsid w:val="001605B9"/>
    <w:rsid w:val="0016289D"/>
    <w:rsid w:val="00163271"/>
    <w:rsid w:val="001634DE"/>
    <w:rsid w:val="0016506F"/>
    <w:rsid w:val="0016636C"/>
    <w:rsid w:val="00170EC5"/>
    <w:rsid w:val="00170ECC"/>
    <w:rsid w:val="00171619"/>
    <w:rsid w:val="00174648"/>
    <w:rsid w:val="001747C1"/>
    <w:rsid w:val="001756C5"/>
    <w:rsid w:val="00181CB5"/>
    <w:rsid w:val="00182ACD"/>
    <w:rsid w:val="00182DB1"/>
    <w:rsid w:val="00184743"/>
    <w:rsid w:val="001870CD"/>
    <w:rsid w:val="001878B4"/>
    <w:rsid w:val="001A1918"/>
    <w:rsid w:val="001A1AC5"/>
    <w:rsid w:val="001A5233"/>
    <w:rsid w:val="001A5FCB"/>
    <w:rsid w:val="001A7C3E"/>
    <w:rsid w:val="001B0E42"/>
    <w:rsid w:val="001B4BB5"/>
    <w:rsid w:val="001C1E86"/>
    <w:rsid w:val="001C4E74"/>
    <w:rsid w:val="001C50A7"/>
    <w:rsid w:val="001D468F"/>
    <w:rsid w:val="001D4C84"/>
    <w:rsid w:val="001D61F4"/>
    <w:rsid w:val="001E00EA"/>
    <w:rsid w:val="001E30C8"/>
    <w:rsid w:val="001F149A"/>
    <w:rsid w:val="001F3901"/>
    <w:rsid w:val="001F3B5A"/>
    <w:rsid w:val="001F5EE5"/>
    <w:rsid w:val="001F7E3F"/>
    <w:rsid w:val="00202FD7"/>
    <w:rsid w:val="00207DF5"/>
    <w:rsid w:val="00212E03"/>
    <w:rsid w:val="002149A8"/>
    <w:rsid w:val="00215E8D"/>
    <w:rsid w:val="0021631B"/>
    <w:rsid w:val="0021669C"/>
    <w:rsid w:val="00220B97"/>
    <w:rsid w:val="002256E9"/>
    <w:rsid w:val="00227586"/>
    <w:rsid w:val="00237E08"/>
    <w:rsid w:val="00241941"/>
    <w:rsid w:val="00241EAE"/>
    <w:rsid w:val="002519F9"/>
    <w:rsid w:val="00252DBA"/>
    <w:rsid w:val="002541DA"/>
    <w:rsid w:val="0025585D"/>
    <w:rsid w:val="00256E80"/>
    <w:rsid w:val="00256F8F"/>
    <w:rsid w:val="0026258C"/>
    <w:rsid w:val="0026301F"/>
    <w:rsid w:val="0026527A"/>
    <w:rsid w:val="00273EF1"/>
    <w:rsid w:val="00280E07"/>
    <w:rsid w:val="00281842"/>
    <w:rsid w:val="00283563"/>
    <w:rsid w:val="002878CE"/>
    <w:rsid w:val="00291E18"/>
    <w:rsid w:val="00293C9B"/>
    <w:rsid w:val="002A0840"/>
    <w:rsid w:val="002A19F3"/>
    <w:rsid w:val="002A541E"/>
    <w:rsid w:val="002A7AC8"/>
    <w:rsid w:val="002B0025"/>
    <w:rsid w:val="002B0472"/>
    <w:rsid w:val="002B3A8F"/>
    <w:rsid w:val="002B3CCD"/>
    <w:rsid w:val="002B47F8"/>
    <w:rsid w:val="002C31BF"/>
    <w:rsid w:val="002D06A1"/>
    <w:rsid w:val="002D082E"/>
    <w:rsid w:val="002D08B1"/>
    <w:rsid w:val="002D3CB0"/>
    <w:rsid w:val="002D7113"/>
    <w:rsid w:val="002E0CD7"/>
    <w:rsid w:val="002E21E4"/>
    <w:rsid w:val="002E2EBE"/>
    <w:rsid w:val="002F0472"/>
    <w:rsid w:val="002F36FD"/>
    <w:rsid w:val="002F4075"/>
    <w:rsid w:val="00315BE9"/>
    <w:rsid w:val="00322AD9"/>
    <w:rsid w:val="0032522F"/>
    <w:rsid w:val="00330961"/>
    <w:rsid w:val="00334D68"/>
    <w:rsid w:val="00341184"/>
    <w:rsid w:val="00341DCF"/>
    <w:rsid w:val="003446DA"/>
    <w:rsid w:val="003447E8"/>
    <w:rsid w:val="00352E9D"/>
    <w:rsid w:val="00356ACC"/>
    <w:rsid w:val="00357BC6"/>
    <w:rsid w:val="0036151F"/>
    <w:rsid w:val="0036259F"/>
    <w:rsid w:val="003633CD"/>
    <w:rsid w:val="0036347A"/>
    <w:rsid w:val="003658D6"/>
    <w:rsid w:val="003671B8"/>
    <w:rsid w:val="00370642"/>
    <w:rsid w:val="00372C0F"/>
    <w:rsid w:val="0037775A"/>
    <w:rsid w:val="0038706F"/>
    <w:rsid w:val="003870E5"/>
    <w:rsid w:val="0039353D"/>
    <w:rsid w:val="003956AF"/>
    <w:rsid w:val="003956C6"/>
    <w:rsid w:val="00395858"/>
    <w:rsid w:val="003B2038"/>
    <w:rsid w:val="003C11A9"/>
    <w:rsid w:val="003C4035"/>
    <w:rsid w:val="003C78BF"/>
    <w:rsid w:val="003D4442"/>
    <w:rsid w:val="003D4848"/>
    <w:rsid w:val="003D5D18"/>
    <w:rsid w:val="003D65F1"/>
    <w:rsid w:val="003D77E8"/>
    <w:rsid w:val="003E30A7"/>
    <w:rsid w:val="003E3E75"/>
    <w:rsid w:val="003E4A98"/>
    <w:rsid w:val="003F0D28"/>
    <w:rsid w:val="003F10F2"/>
    <w:rsid w:val="003F2C28"/>
    <w:rsid w:val="003F5EC0"/>
    <w:rsid w:val="00410AC0"/>
    <w:rsid w:val="0041187A"/>
    <w:rsid w:val="0042244E"/>
    <w:rsid w:val="00426430"/>
    <w:rsid w:val="0042710B"/>
    <w:rsid w:val="00433D52"/>
    <w:rsid w:val="00435F7E"/>
    <w:rsid w:val="0044112B"/>
    <w:rsid w:val="00441430"/>
    <w:rsid w:val="0044287B"/>
    <w:rsid w:val="00446A94"/>
    <w:rsid w:val="00446EB9"/>
    <w:rsid w:val="0044751C"/>
    <w:rsid w:val="004477EC"/>
    <w:rsid w:val="00450F07"/>
    <w:rsid w:val="0045208D"/>
    <w:rsid w:val="00453CD3"/>
    <w:rsid w:val="0045602E"/>
    <w:rsid w:val="004565B9"/>
    <w:rsid w:val="00460660"/>
    <w:rsid w:val="004655AF"/>
    <w:rsid w:val="00465DB6"/>
    <w:rsid w:val="00473D34"/>
    <w:rsid w:val="00475924"/>
    <w:rsid w:val="00476412"/>
    <w:rsid w:val="00480570"/>
    <w:rsid w:val="00482224"/>
    <w:rsid w:val="004856AB"/>
    <w:rsid w:val="00486107"/>
    <w:rsid w:val="004873A3"/>
    <w:rsid w:val="004908E8"/>
    <w:rsid w:val="00491827"/>
    <w:rsid w:val="004A19CB"/>
    <w:rsid w:val="004A3147"/>
    <w:rsid w:val="004A41D7"/>
    <w:rsid w:val="004A772D"/>
    <w:rsid w:val="004A7B3B"/>
    <w:rsid w:val="004B0FE6"/>
    <w:rsid w:val="004B1EBA"/>
    <w:rsid w:val="004B348C"/>
    <w:rsid w:val="004B5123"/>
    <w:rsid w:val="004B6838"/>
    <w:rsid w:val="004B72C2"/>
    <w:rsid w:val="004B737B"/>
    <w:rsid w:val="004C4399"/>
    <w:rsid w:val="004C4A56"/>
    <w:rsid w:val="004C787C"/>
    <w:rsid w:val="004D75AB"/>
    <w:rsid w:val="004E0575"/>
    <w:rsid w:val="004E143C"/>
    <w:rsid w:val="004E3A53"/>
    <w:rsid w:val="004E3A9E"/>
    <w:rsid w:val="004E5319"/>
    <w:rsid w:val="004F1C14"/>
    <w:rsid w:val="004F20BC"/>
    <w:rsid w:val="004F2BB7"/>
    <w:rsid w:val="004F4B9B"/>
    <w:rsid w:val="004F69EA"/>
    <w:rsid w:val="004F7746"/>
    <w:rsid w:val="00500006"/>
    <w:rsid w:val="00504A8C"/>
    <w:rsid w:val="00504FDE"/>
    <w:rsid w:val="00511AB9"/>
    <w:rsid w:val="005167EF"/>
    <w:rsid w:val="00516D30"/>
    <w:rsid w:val="005232EE"/>
    <w:rsid w:val="005238F5"/>
    <w:rsid w:val="00523EA7"/>
    <w:rsid w:val="00525D6B"/>
    <w:rsid w:val="00536468"/>
    <w:rsid w:val="00546D2D"/>
    <w:rsid w:val="005470D4"/>
    <w:rsid w:val="00547E89"/>
    <w:rsid w:val="005529E8"/>
    <w:rsid w:val="00553375"/>
    <w:rsid w:val="00554B22"/>
    <w:rsid w:val="00557C28"/>
    <w:rsid w:val="0056523B"/>
    <w:rsid w:val="005657A2"/>
    <w:rsid w:val="005660A9"/>
    <w:rsid w:val="00571B98"/>
    <w:rsid w:val="00572933"/>
    <w:rsid w:val="005736B7"/>
    <w:rsid w:val="00575551"/>
    <w:rsid w:val="00575E5A"/>
    <w:rsid w:val="00582F7B"/>
    <w:rsid w:val="00583D32"/>
    <w:rsid w:val="005860EA"/>
    <w:rsid w:val="00586C7D"/>
    <w:rsid w:val="00592579"/>
    <w:rsid w:val="00593216"/>
    <w:rsid w:val="00593D0E"/>
    <w:rsid w:val="005968C1"/>
    <w:rsid w:val="0059757C"/>
    <w:rsid w:val="00597F20"/>
    <w:rsid w:val="005A1A25"/>
    <w:rsid w:val="005A3EC4"/>
    <w:rsid w:val="005A4BF6"/>
    <w:rsid w:val="005B00C2"/>
    <w:rsid w:val="005B0EC7"/>
    <w:rsid w:val="005B3CF7"/>
    <w:rsid w:val="005C1E57"/>
    <w:rsid w:val="005D02DA"/>
    <w:rsid w:val="005D1577"/>
    <w:rsid w:val="005D2945"/>
    <w:rsid w:val="005D5258"/>
    <w:rsid w:val="005D6B8F"/>
    <w:rsid w:val="005D723F"/>
    <w:rsid w:val="005E7DAC"/>
    <w:rsid w:val="005F0745"/>
    <w:rsid w:val="005F1404"/>
    <w:rsid w:val="005F2AB2"/>
    <w:rsid w:val="005F5E39"/>
    <w:rsid w:val="005F5F1D"/>
    <w:rsid w:val="0061068E"/>
    <w:rsid w:val="006129CF"/>
    <w:rsid w:val="00614D14"/>
    <w:rsid w:val="006222C2"/>
    <w:rsid w:val="0063193B"/>
    <w:rsid w:val="0063260F"/>
    <w:rsid w:val="006357EE"/>
    <w:rsid w:val="00637396"/>
    <w:rsid w:val="00637C9F"/>
    <w:rsid w:val="00660AD3"/>
    <w:rsid w:val="006673AD"/>
    <w:rsid w:val="00675B87"/>
    <w:rsid w:val="006760A5"/>
    <w:rsid w:val="00677B7F"/>
    <w:rsid w:val="00687728"/>
    <w:rsid w:val="00687970"/>
    <w:rsid w:val="006917BF"/>
    <w:rsid w:val="00691C19"/>
    <w:rsid w:val="006958C8"/>
    <w:rsid w:val="00696F6E"/>
    <w:rsid w:val="006A0EC0"/>
    <w:rsid w:val="006A32A0"/>
    <w:rsid w:val="006A5570"/>
    <w:rsid w:val="006A558C"/>
    <w:rsid w:val="006A689C"/>
    <w:rsid w:val="006B3D79"/>
    <w:rsid w:val="006C1747"/>
    <w:rsid w:val="006D18BB"/>
    <w:rsid w:val="006D4931"/>
    <w:rsid w:val="006D5CDB"/>
    <w:rsid w:val="006D76D5"/>
    <w:rsid w:val="006D76D6"/>
    <w:rsid w:val="006D7AFE"/>
    <w:rsid w:val="006E0578"/>
    <w:rsid w:val="006E14AE"/>
    <w:rsid w:val="006E314D"/>
    <w:rsid w:val="006E7F32"/>
    <w:rsid w:val="006F55A7"/>
    <w:rsid w:val="006F57B0"/>
    <w:rsid w:val="007045A0"/>
    <w:rsid w:val="00705940"/>
    <w:rsid w:val="0070733B"/>
    <w:rsid w:val="00707B1C"/>
    <w:rsid w:val="00710723"/>
    <w:rsid w:val="00723ED1"/>
    <w:rsid w:val="007269A8"/>
    <w:rsid w:val="007307AB"/>
    <w:rsid w:val="00731394"/>
    <w:rsid w:val="00731744"/>
    <w:rsid w:val="00733BAE"/>
    <w:rsid w:val="00743525"/>
    <w:rsid w:val="00744076"/>
    <w:rsid w:val="00744DB3"/>
    <w:rsid w:val="00755712"/>
    <w:rsid w:val="00755DC9"/>
    <w:rsid w:val="00755FFE"/>
    <w:rsid w:val="00756026"/>
    <w:rsid w:val="00756998"/>
    <w:rsid w:val="00757AA6"/>
    <w:rsid w:val="0076286B"/>
    <w:rsid w:val="007633AC"/>
    <w:rsid w:val="00766846"/>
    <w:rsid w:val="0077229C"/>
    <w:rsid w:val="00775EB7"/>
    <w:rsid w:val="0077673A"/>
    <w:rsid w:val="007767AC"/>
    <w:rsid w:val="007846E1"/>
    <w:rsid w:val="00794DE2"/>
    <w:rsid w:val="007A1EB8"/>
    <w:rsid w:val="007A3055"/>
    <w:rsid w:val="007A383E"/>
    <w:rsid w:val="007A4C5A"/>
    <w:rsid w:val="007A6850"/>
    <w:rsid w:val="007A6977"/>
    <w:rsid w:val="007B16BA"/>
    <w:rsid w:val="007B46A9"/>
    <w:rsid w:val="007B4C7F"/>
    <w:rsid w:val="007B570C"/>
    <w:rsid w:val="007B6233"/>
    <w:rsid w:val="007C0E0B"/>
    <w:rsid w:val="007C589B"/>
    <w:rsid w:val="007C6327"/>
    <w:rsid w:val="007D2625"/>
    <w:rsid w:val="007D26CA"/>
    <w:rsid w:val="007D53BD"/>
    <w:rsid w:val="007E1BC8"/>
    <w:rsid w:val="007E3AC7"/>
    <w:rsid w:val="007E4A6E"/>
    <w:rsid w:val="007E791F"/>
    <w:rsid w:val="007F17D2"/>
    <w:rsid w:val="007F2B48"/>
    <w:rsid w:val="007F318C"/>
    <w:rsid w:val="007F56A7"/>
    <w:rsid w:val="007F577E"/>
    <w:rsid w:val="007F664B"/>
    <w:rsid w:val="00801063"/>
    <w:rsid w:val="00802B22"/>
    <w:rsid w:val="00807DD0"/>
    <w:rsid w:val="008102CD"/>
    <w:rsid w:val="00810DC2"/>
    <w:rsid w:val="00820F4B"/>
    <w:rsid w:val="00821B62"/>
    <w:rsid w:val="008220A9"/>
    <w:rsid w:val="008229F0"/>
    <w:rsid w:val="0082329B"/>
    <w:rsid w:val="0082345F"/>
    <w:rsid w:val="008250B3"/>
    <w:rsid w:val="0082741E"/>
    <w:rsid w:val="008476C6"/>
    <w:rsid w:val="008504E2"/>
    <w:rsid w:val="00850E89"/>
    <w:rsid w:val="00851334"/>
    <w:rsid w:val="0085498C"/>
    <w:rsid w:val="00854D12"/>
    <w:rsid w:val="008558D4"/>
    <w:rsid w:val="008559C0"/>
    <w:rsid w:val="0086061B"/>
    <w:rsid w:val="00863DB9"/>
    <w:rsid w:val="008659F3"/>
    <w:rsid w:val="00866D91"/>
    <w:rsid w:val="008705BE"/>
    <w:rsid w:val="00870D8E"/>
    <w:rsid w:val="008743DD"/>
    <w:rsid w:val="0088096A"/>
    <w:rsid w:val="00885E1F"/>
    <w:rsid w:val="00886D4B"/>
    <w:rsid w:val="008913B4"/>
    <w:rsid w:val="00891535"/>
    <w:rsid w:val="00892827"/>
    <w:rsid w:val="00892B1E"/>
    <w:rsid w:val="00895406"/>
    <w:rsid w:val="008A0A14"/>
    <w:rsid w:val="008A2966"/>
    <w:rsid w:val="008A3568"/>
    <w:rsid w:val="008B0012"/>
    <w:rsid w:val="008C0CEF"/>
    <w:rsid w:val="008C1D02"/>
    <w:rsid w:val="008C3E3C"/>
    <w:rsid w:val="008C6BB8"/>
    <w:rsid w:val="008C76E0"/>
    <w:rsid w:val="008D03B9"/>
    <w:rsid w:val="008E063D"/>
    <w:rsid w:val="008E6070"/>
    <w:rsid w:val="008F1792"/>
    <w:rsid w:val="008F18D6"/>
    <w:rsid w:val="008F2A52"/>
    <w:rsid w:val="008F59D5"/>
    <w:rsid w:val="008F7223"/>
    <w:rsid w:val="0090221B"/>
    <w:rsid w:val="00904330"/>
    <w:rsid w:val="00904780"/>
    <w:rsid w:val="00906D10"/>
    <w:rsid w:val="00912CF2"/>
    <w:rsid w:val="009144ED"/>
    <w:rsid w:val="00914E83"/>
    <w:rsid w:val="00917100"/>
    <w:rsid w:val="00920D54"/>
    <w:rsid w:val="00921D16"/>
    <w:rsid w:val="00922385"/>
    <w:rsid w:val="009223DF"/>
    <w:rsid w:val="00923DE9"/>
    <w:rsid w:val="0093494F"/>
    <w:rsid w:val="00935272"/>
    <w:rsid w:val="00935F00"/>
    <w:rsid w:val="00936091"/>
    <w:rsid w:val="00940D8A"/>
    <w:rsid w:val="009545D6"/>
    <w:rsid w:val="0095551E"/>
    <w:rsid w:val="009608FD"/>
    <w:rsid w:val="00962258"/>
    <w:rsid w:val="0096285A"/>
    <w:rsid w:val="0096633F"/>
    <w:rsid w:val="009678B7"/>
    <w:rsid w:val="00981A34"/>
    <w:rsid w:val="0098221B"/>
    <w:rsid w:val="009833E1"/>
    <w:rsid w:val="00992D9C"/>
    <w:rsid w:val="00996CB8"/>
    <w:rsid w:val="009A031C"/>
    <w:rsid w:val="009A0EFA"/>
    <w:rsid w:val="009A2672"/>
    <w:rsid w:val="009A3C86"/>
    <w:rsid w:val="009A776B"/>
    <w:rsid w:val="009A7B10"/>
    <w:rsid w:val="009B14A9"/>
    <w:rsid w:val="009B2E97"/>
    <w:rsid w:val="009B4B9C"/>
    <w:rsid w:val="009B7A5D"/>
    <w:rsid w:val="009C05FD"/>
    <w:rsid w:val="009C7F40"/>
    <w:rsid w:val="009D092E"/>
    <w:rsid w:val="009D4B9B"/>
    <w:rsid w:val="009E07F4"/>
    <w:rsid w:val="009E115F"/>
    <w:rsid w:val="009F392E"/>
    <w:rsid w:val="009F4B0B"/>
    <w:rsid w:val="00A00D52"/>
    <w:rsid w:val="00A06537"/>
    <w:rsid w:val="00A107A2"/>
    <w:rsid w:val="00A109B4"/>
    <w:rsid w:val="00A1148A"/>
    <w:rsid w:val="00A15B0F"/>
    <w:rsid w:val="00A24E70"/>
    <w:rsid w:val="00A30067"/>
    <w:rsid w:val="00A30F5F"/>
    <w:rsid w:val="00A32E82"/>
    <w:rsid w:val="00A35E5D"/>
    <w:rsid w:val="00A36B2F"/>
    <w:rsid w:val="00A36DBE"/>
    <w:rsid w:val="00A37425"/>
    <w:rsid w:val="00A428CA"/>
    <w:rsid w:val="00A522FE"/>
    <w:rsid w:val="00A53FB6"/>
    <w:rsid w:val="00A54FAF"/>
    <w:rsid w:val="00A568FC"/>
    <w:rsid w:val="00A6177B"/>
    <w:rsid w:val="00A66136"/>
    <w:rsid w:val="00A70E1F"/>
    <w:rsid w:val="00A719D8"/>
    <w:rsid w:val="00A75FDD"/>
    <w:rsid w:val="00A8455C"/>
    <w:rsid w:val="00A84C38"/>
    <w:rsid w:val="00A933B2"/>
    <w:rsid w:val="00A9493C"/>
    <w:rsid w:val="00A951C3"/>
    <w:rsid w:val="00A970F3"/>
    <w:rsid w:val="00A97C70"/>
    <w:rsid w:val="00AA4CBB"/>
    <w:rsid w:val="00AA65FA"/>
    <w:rsid w:val="00AA7351"/>
    <w:rsid w:val="00AA7532"/>
    <w:rsid w:val="00AB0EE5"/>
    <w:rsid w:val="00AB2C26"/>
    <w:rsid w:val="00AB345C"/>
    <w:rsid w:val="00AB70A4"/>
    <w:rsid w:val="00AC39A5"/>
    <w:rsid w:val="00AD056F"/>
    <w:rsid w:val="00AD140F"/>
    <w:rsid w:val="00AD16DA"/>
    <w:rsid w:val="00AD4A2A"/>
    <w:rsid w:val="00AD6731"/>
    <w:rsid w:val="00AE0D5F"/>
    <w:rsid w:val="00AE6342"/>
    <w:rsid w:val="00AE6356"/>
    <w:rsid w:val="00AE77B1"/>
    <w:rsid w:val="00AF0F07"/>
    <w:rsid w:val="00AF2554"/>
    <w:rsid w:val="00AF2755"/>
    <w:rsid w:val="00AF2BF5"/>
    <w:rsid w:val="00AF37DE"/>
    <w:rsid w:val="00AF43DE"/>
    <w:rsid w:val="00AF6FEF"/>
    <w:rsid w:val="00AF7329"/>
    <w:rsid w:val="00B00A9A"/>
    <w:rsid w:val="00B01A75"/>
    <w:rsid w:val="00B02A81"/>
    <w:rsid w:val="00B061C2"/>
    <w:rsid w:val="00B06701"/>
    <w:rsid w:val="00B15D0D"/>
    <w:rsid w:val="00B216ED"/>
    <w:rsid w:val="00B3010B"/>
    <w:rsid w:val="00B32FCD"/>
    <w:rsid w:val="00B3333B"/>
    <w:rsid w:val="00B3376E"/>
    <w:rsid w:val="00B33FB6"/>
    <w:rsid w:val="00B36B63"/>
    <w:rsid w:val="00B40BC7"/>
    <w:rsid w:val="00B4182D"/>
    <w:rsid w:val="00B42809"/>
    <w:rsid w:val="00B42F26"/>
    <w:rsid w:val="00B5068E"/>
    <w:rsid w:val="00B517F8"/>
    <w:rsid w:val="00B52FD4"/>
    <w:rsid w:val="00B536A3"/>
    <w:rsid w:val="00B549F3"/>
    <w:rsid w:val="00B56027"/>
    <w:rsid w:val="00B56A71"/>
    <w:rsid w:val="00B6088A"/>
    <w:rsid w:val="00B718D3"/>
    <w:rsid w:val="00B741C2"/>
    <w:rsid w:val="00B75EE1"/>
    <w:rsid w:val="00B77481"/>
    <w:rsid w:val="00B8035E"/>
    <w:rsid w:val="00B849E7"/>
    <w:rsid w:val="00B8518B"/>
    <w:rsid w:val="00B908AB"/>
    <w:rsid w:val="00B92C34"/>
    <w:rsid w:val="00BA538A"/>
    <w:rsid w:val="00BA559D"/>
    <w:rsid w:val="00BB4A5D"/>
    <w:rsid w:val="00BB5987"/>
    <w:rsid w:val="00BB67DD"/>
    <w:rsid w:val="00BB6B3A"/>
    <w:rsid w:val="00BC29AA"/>
    <w:rsid w:val="00BC5831"/>
    <w:rsid w:val="00BD56CD"/>
    <w:rsid w:val="00BD628D"/>
    <w:rsid w:val="00BD7E91"/>
    <w:rsid w:val="00BE0594"/>
    <w:rsid w:val="00BE1A35"/>
    <w:rsid w:val="00BE2EE2"/>
    <w:rsid w:val="00BE5220"/>
    <w:rsid w:val="00BE5D53"/>
    <w:rsid w:val="00BF077D"/>
    <w:rsid w:val="00BF18FF"/>
    <w:rsid w:val="00BF2E3D"/>
    <w:rsid w:val="00BF32A0"/>
    <w:rsid w:val="00BF3655"/>
    <w:rsid w:val="00C00374"/>
    <w:rsid w:val="00C010D4"/>
    <w:rsid w:val="00C0123C"/>
    <w:rsid w:val="00C020F4"/>
    <w:rsid w:val="00C02D0A"/>
    <w:rsid w:val="00C03A6E"/>
    <w:rsid w:val="00C068A6"/>
    <w:rsid w:val="00C07C0B"/>
    <w:rsid w:val="00C13EFC"/>
    <w:rsid w:val="00C14847"/>
    <w:rsid w:val="00C1670D"/>
    <w:rsid w:val="00C16901"/>
    <w:rsid w:val="00C17577"/>
    <w:rsid w:val="00C1778D"/>
    <w:rsid w:val="00C17E3E"/>
    <w:rsid w:val="00C20BD2"/>
    <w:rsid w:val="00C2592E"/>
    <w:rsid w:val="00C27309"/>
    <w:rsid w:val="00C30C96"/>
    <w:rsid w:val="00C35625"/>
    <w:rsid w:val="00C360F6"/>
    <w:rsid w:val="00C44F6A"/>
    <w:rsid w:val="00C455B8"/>
    <w:rsid w:val="00C4759A"/>
    <w:rsid w:val="00C47AE3"/>
    <w:rsid w:val="00C50B09"/>
    <w:rsid w:val="00C514D7"/>
    <w:rsid w:val="00C55999"/>
    <w:rsid w:val="00C55E76"/>
    <w:rsid w:val="00C5645C"/>
    <w:rsid w:val="00C603F3"/>
    <w:rsid w:val="00C70AAF"/>
    <w:rsid w:val="00C72B84"/>
    <w:rsid w:val="00C7476C"/>
    <w:rsid w:val="00C77E81"/>
    <w:rsid w:val="00C80DAA"/>
    <w:rsid w:val="00C83E6E"/>
    <w:rsid w:val="00C9232F"/>
    <w:rsid w:val="00CA32E4"/>
    <w:rsid w:val="00CB3BCF"/>
    <w:rsid w:val="00CC0528"/>
    <w:rsid w:val="00CC0B9B"/>
    <w:rsid w:val="00CC21AD"/>
    <w:rsid w:val="00CC4081"/>
    <w:rsid w:val="00CC5C56"/>
    <w:rsid w:val="00CC602E"/>
    <w:rsid w:val="00CC61F4"/>
    <w:rsid w:val="00CC7BAF"/>
    <w:rsid w:val="00CD1FC4"/>
    <w:rsid w:val="00CD4D6E"/>
    <w:rsid w:val="00CE058A"/>
    <w:rsid w:val="00CE1152"/>
    <w:rsid w:val="00CF2FC7"/>
    <w:rsid w:val="00D105F6"/>
    <w:rsid w:val="00D11BA2"/>
    <w:rsid w:val="00D133C3"/>
    <w:rsid w:val="00D137AA"/>
    <w:rsid w:val="00D144B7"/>
    <w:rsid w:val="00D14911"/>
    <w:rsid w:val="00D15385"/>
    <w:rsid w:val="00D21061"/>
    <w:rsid w:val="00D23595"/>
    <w:rsid w:val="00D2428B"/>
    <w:rsid w:val="00D26664"/>
    <w:rsid w:val="00D32D49"/>
    <w:rsid w:val="00D3438D"/>
    <w:rsid w:val="00D35895"/>
    <w:rsid w:val="00D40E8F"/>
    <w:rsid w:val="00D4108E"/>
    <w:rsid w:val="00D43061"/>
    <w:rsid w:val="00D4662B"/>
    <w:rsid w:val="00D53A1C"/>
    <w:rsid w:val="00D57AFE"/>
    <w:rsid w:val="00D6163D"/>
    <w:rsid w:val="00D62A02"/>
    <w:rsid w:val="00D65BCB"/>
    <w:rsid w:val="00D673D0"/>
    <w:rsid w:val="00D73D46"/>
    <w:rsid w:val="00D831A3"/>
    <w:rsid w:val="00D91001"/>
    <w:rsid w:val="00D93277"/>
    <w:rsid w:val="00D9410E"/>
    <w:rsid w:val="00D96D7F"/>
    <w:rsid w:val="00D97573"/>
    <w:rsid w:val="00DA04A1"/>
    <w:rsid w:val="00DA7A6D"/>
    <w:rsid w:val="00DB2436"/>
    <w:rsid w:val="00DB2652"/>
    <w:rsid w:val="00DB5D02"/>
    <w:rsid w:val="00DC2259"/>
    <w:rsid w:val="00DC4A0E"/>
    <w:rsid w:val="00DC6833"/>
    <w:rsid w:val="00DC75F3"/>
    <w:rsid w:val="00DD46F3"/>
    <w:rsid w:val="00DD790D"/>
    <w:rsid w:val="00DE56F2"/>
    <w:rsid w:val="00DF116D"/>
    <w:rsid w:val="00DF2355"/>
    <w:rsid w:val="00DF656E"/>
    <w:rsid w:val="00DF6BA5"/>
    <w:rsid w:val="00E028CF"/>
    <w:rsid w:val="00E02C19"/>
    <w:rsid w:val="00E05A31"/>
    <w:rsid w:val="00E06765"/>
    <w:rsid w:val="00E1116B"/>
    <w:rsid w:val="00E13E6B"/>
    <w:rsid w:val="00E1718D"/>
    <w:rsid w:val="00E200C4"/>
    <w:rsid w:val="00E26C94"/>
    <w:rsid w:val="00E33350"/>
    <w:rsid w:val="00E340A4"/>
    <w:rsid w:val="00E3480A"/>
    <w:rsid w:val="00E365FC"/>
    <w:rsid w:val="00E37ACD"/>
    <w:rsid w:val="00E400FD"/>
    <w:rsid w:val="00E4221D"/>
    <w:rsid w:val="00E430A4"/>
    <w:rsid w:val="00E502C2"/>
    <w:rsid w:val="00E60F20"/>
    <w:rsid w:val="00E6254A"/>
    <w:rsid w:val="00E62832"/>
    <w:rsid w:val="00E62E73"/>
    <w:rsid w:val="00E63E50"/>
    <w:rsid w:val="00E7119E"/>
    <w:rsid w:val="00E801D9"/>
    <w:rsid w:val="00E803A4"/>
    <w:rsid w:val="00E80D1F"/>
    <w:rsid w:val="00E81DE2"/>
    <w:rsid w:val="00E935EB"/>
    <w:rsid w:val="00E954A1"/>
    <w:rsid w:val="00E9582E"/>
    <w:rsid w:val="00E970BD"/>
    <w:rsid w:val="00EA147E"/>
    <w:rsid w:val="00EA29E3"/>
    <w:rsid w:val="00EA2C88"/>
    <w:rsid w:val="00EB001C"/>
    <w:rsid w:val="00EB104F"/>
    <w:rsid w:val="00EB235F"/>
    <w:rsid w:val="00EC4D8F"/>
    <w:rsid w:val="00ED07F7"/>
    <w:rsid w:val="00ED14BD"/>
    <w:rsid w:val="00ED335C"/>
    <w:rsid w:val="00ED3E9D"/>
    <w:rsid w:val="00EE19FE"/>
    <w:rsid w:val="00EE3543"/>
    <w:rsid w:val="00EF4AB2"/>
    <w:rsid w:val="00EF7537"/>
    <w:rsid w:val="00F04809"/>
    <w:rsid w:val="00F04BF9"/>
    <w:rsid w:val="00F0533E"/>
    <w:rsid w:val="00F07C20"/>
    <w:rsid w:val="00F1048D"/>
    <w:rsid w:val="00F1108B"/>
    <w:rsid w:val="00F11370"/>
    <w:rsid w:val="00F12DEC"/>
    <w:rsid w:val="00F15A08"/>
    <w:rsid w:val="00F16170"/>
    <w:rsid w:val="00F1715C"/>
    <w:rsid w:val="00F214C7"/>
    <w:rsid w:val="00F23134"/>
    <w:rsid w:val="00F310F8"/>
    <w:rsid w:val="00F31DD4"/>
    <w:rsid w:val="00F338FC"/>
    <w:rsid w:val="00F35939"/>
    <w:rsid w:val="00F37231"/>
    <w:rsid w:val="00F37D8C"/>
    <w:rsid w:val="00F412D2"/>
    <w:rsid w:val="00F4163C"/>
    <w:rsid w:val="00F45607"/>
    <w:rsid w:val="00F5189E"/>
    <w:rsid w:val="00F52AE4"/>
    <w:rsid w:val="00F53D8D"/>
    <w:rsid w:val="00F5428C"/>
    <w:rsid w:val="00F5558F"/>
    <w:rsid w:val="00F64E3F"/>
    <w:rsid w:val="00F65085"/>
    <w:rsid w:val="00F654DC"/>
    <w:rsid w:val="00F659EB"/>
    <w:rsid w:val="00F67593"/>
    <w:rsid w:val="00F72348"/>
    <w:rsid w:val="00F80ADF"/>
    <w:rsid w:val="00F81327"/>
    <w:rsid w:val="00F817A5"/>
    <w:rsid w:val="00F838B0"/>
    <w:rsid w:val="00F86436"/>
    <w:rsid w:val="00F86930"/>
    <w:rsid w:val="00F86BA6"/>
    <w:rsid w:val="00F87125"/>
    <w:rsid w:val="00F900AC"/>
    <w:rsid w:val="00F90C74"/>
    <w:rsid w:val="00F91121"/>
    <w:rsid w:val="00F959BA"/>
    <w:rsid w:val="00FA00F5"/>
    <w:rsid w:val="00FA6647"/>
    <w:rsid w:val="00FA7DF7"/>
    <w:rsid w:val="00FB6FD3"/>
    <w:rsid w:val="00FB757E"/>
    <w:rsid w:val="00FC1304"/>
    <w:rsid w:val="00FC6389"/>
    <w:rsid w:val="00FD0909"/>
    <w:rsid w:val="00FD2830"/>
    <w:rsid w:val="00FD6BEC"/>
    <w:rsid w:val="00FE2A42"/>
    <w:rsid w:val="00FE365F"/>
    <w:rsid w:val="00FE4783"/>
    <w:rsid w:val="00FE5E4E"/>
    <w:rsid w:val="00FE6A1A"/>
    <w:rsid w:val="00FE6FD2"/>
    <w:rsid w:val="00FF1A92"/>
    <w:rsid w:val="00FF29F7"/>
    <w:rsid w:val="00FF3671"/>
    <w:rsid w:val="00FF54E1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79857A2"/>
  <w14:defaultImageDpi w14:val="32767"/>
  <w15:docId w15:val="{617E3CF7-2350-4DE0-863D-AFFB6A650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99"/>
    <w:unhideWhenUsed/>
    <w:qFormat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8A0A14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8A0A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0A1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0A1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0A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0A14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B757E"/>
    <w:pPr>
      <w:spacing w:after="0" w:line="240" w:lineRule="auto"/>
    </w:pPr>
  </w:style>
  <w:style w:type="paragraph" w:customStyle="1" w:styleId="Default">
    <w:name w:val="Default"/>
    <w:rsid w:val="00C167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Tabulkaseznamu3zvraznn11">
    <w:name w:val="Tabulka seznamu 3 – zvýraznění 11"/>
    <w:basedOn w:val="Normlntabulka"/>
    <w:uiPriority w:val="48"/>
    <w:rsid w:val="00AD4A2A"/>
    <w:pPr>
      <w:spacing w:after="0" w:line="240" w:lineRule="auto"/>
    </w:pPr>
    <w:rPr>
      <w:rFonts w:ascii="Calibri Light" w:eastAsia="Calibri Light" w:hAnsi="Calibri Light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002B59" w:themeColor="accent1"/>
        <w:left w:val="single" w:sz="4" w:space="0" w:color="002B59" w:themeColor="accent1"/>
        <w:bottom w:val="single" w:sz="4" w:space="0" w:color="002B59" w:themeColor="accent1"/>
        <w:right w:val="single" w:sz="4" w:space="0" w:color="002B59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2B59" w:themeFill="accent1"/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2B59" w:themeColor="accent1"/>
          <w:right w:val="single" w:sz="4" w:space="0" w:color="002B59" w:themeColor="accent1"/>
        </w:tcBorders>
      </w:tcPr>
    </w:tblStylePr>
    <w:tblStylePr w:type="band1Horz">
      <w:tblPr/>
      <w:tcPr>
        <w:tcBorders>
          <w:top w:val="single" w:sz="4" w:space="0" w:color="002B59" w:themeColor="accent1"/>
          <w:bottom w:val="single" w:sz="4" w:space="0" w:color="002B59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2B59" w:themeColor="accent1"/>
          <w:left w:val="nil"/>
        </w:tcBorders>
      </w:tcPr>
    </w:tblStylePr>
    <w:tblStylePr w:type="swCell">
      <w:tblPr/>
      <w:tcPr>
        <w:tcBorders>
          <w:top w:val="double" w:sz="4" w:space="0" w:color="002B59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ZDC\&#381;TM\2021\Rozhran&#237;%20mezi%20&#381;TM%20a%20O&#344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DFA60-EE1E-4F20-9981-5485AB44F04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0A2F02-CA43-45FE-820C-199CF18EC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80059D-6FB2-4EAE-852B-A04E1EC86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Rozhraní mezi ŽTM a OŘ</Template>
  <TotalTime>10</TotalTime>
  <Pages>16</Pages>
  <Words>2963</Words>
  <Characters>17486</Characters>
  <Application>Microsoft Office Word</Application>
  <DocSecurity>0</DocSecurity>
  <Lines>145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Klíma Václav, Ing.</dc:creator>
  <cp:lastModifiedBy>Zajíčková Veronika, Mgr.</cp:lastModifiedBy>
  <cp:revision>5</cp:revision>
  <cp:lastPrinted>2022-11-18T11:06:00Z</cp:lastPrinted>
  <dcterms:created xsi:type="dcterms:W3CDTF">2023-01-11T07:25:00Z</dcterms:created>
  <dcterms:modified xsi:type="dcterms:W3CDTF">2023-01-19T09:24:00Z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